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79CD">
      <w:pPr>
        <w:spacing w:after="0" w:afterAutospacing="0" w:line="54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初  步  审  查  表</w:t>
      </w:r>
    </w:p>
    <w:tbl>
      <w:tblPr>
        <w:tblStyle w:val="6"/>
        <w:tblW w:w="14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187"/>
        <w:gridCol w:w="7529"/>
        <w:gridCol w:w="1134"/>
        <w:gridCol w:w="1276"/>
        <w:gridCol w:w="1137"/>
        <w:gridCol w:w="1107"/>
      </w:tblGrid>
      <w:tr w14:paraId="736B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6907E97"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                日期：</w:t>
            </w:r>
          </w:p>
        </w:tc>
      </w:tr>
      <w:tr w14:paraId="18A6F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A9EEE2B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一、资格性审查</w:t>
            </w:r>
          </w:p>
        </w:tc>
      </w:tr>
      <w:tr w14:paraId="770B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5B910D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000000" w:fill="FFFFFF"/>
            <w:noWrap w:val="0"/>
            <w:vAlign w:val="center"/>
          </w:tcPr>
          <w:p w14:paraId="5083CDEA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供应商名称</w:t>
            </w:r>
          </w:p>
          <w:p w14:paraId="596E8489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29DB57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637115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B8E358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59B6B7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供应商4</w:t>
            </w:r>
          </w:p>
        </w:tc>
      </w:tr>
      <w:tr w14:paraId="4407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0A28F6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88834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经营资格审查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BB2003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具有独立承担民事责任的能力：提供法人或其他组织的营业执照(或事业单位法人证书)等证明文件；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0E9FE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F971E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C16CD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721C9F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6489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209552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ED384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1F92B4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具有良好的商业信誉和健全的财务会计制度：</w:t>
            </w:r>
          </w:p>
          <w:p w14:paraId="0FF61DB2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具体要求：提供具有良好的商业信誉和健全的财务会计制度的承诺函。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6E598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9A5C4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533F1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326F0F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61196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41ECE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38BC3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2BA00D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具有履行合同所必须的设备和专业技术能力：</w:t>
            </w:r>
          </w:p>
          <w:p w14:paraId="68CAEE6D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具体要求：提供具备履行合同所必需的设备和专业技术能力的承诺函；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147DED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91F21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03E36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F17D9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207E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9CB6F8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DCD3A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4B97B3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具有依法缴纳税收和社会保障资金的良好记录：</w:t>
            </w:r>
          </w:p>
          <w:p w14:paraId="2E5AFEF7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具体要求：提供具有依法缴纳税收和社会保障资金的良好记录的承诺函；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950F8B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049F9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0D3ABB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7493F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37A8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732B5C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FE1E2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A95B13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参加本次采购活动前三年内，在经营活动中没有违法违规记录：提供参加采购活动前3年内在经营活动中没有重大违法记录的书面声明；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71D7B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2E897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0C53F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70C76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852B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25764C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23DF7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27EED2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法律、行政法规规定的其他条件：供应商须承诺：在“信用中国”网站（www.creditchina.gov.cn）、中国采购网（www.ccgp.gov.cn）等渠道查询中未被列入失信被执行人名单、重大税收违法案件当事人名单、采购严重违法失信行为记录名单中，如被列入失信被执行人、重大税收违法案件当事人名单、采购严重违法失信行为记录名单中的供应商取消其投标资格，并承担由此造成的一切法律责任及后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08A19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061D0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8635C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7E88C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254D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78103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1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16221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13794D"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潜在投标人自认为可以证明其自己资历的其他证明材料。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41490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A33F1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FB6F7B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3D26BE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0D58C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04B7FD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41E82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特殊资格要求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C0FEAB"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工程监理企业资质综合资质或机电工程专业资质乙级及以上资质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34122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B6139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190CB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DC000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D2A8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99E47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21984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1A290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BB0D5D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88EB6B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38037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3A1D9ED9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二、无效标审查</w:t>
            </w:r>
          </w:p>
        </w:tc>
      </w:tr>
      <w:tr w14:paraId="07DFD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F941E4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E4E6F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无效标审查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A8964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按本项目采购文件无效标条款规定，审查是否通过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D6547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51C11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6678B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C4BEE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D782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F916A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初步审查结论（通过或不通过）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598BEE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B41EF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511DD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8A0F1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2DED2774">
      <w:pPr>
        <w:widowControl/>
        <w:spacing w:line="5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评审小组（签字）：</w:t>
      </w:r>
    </w:p>
    <w:p w14:paraId="6DB2EBB8">
      <w:pPr>
        <w:spacing w:after="0" w:afterAutospacing="0" w:line="540" w:lineRule="exact"/>
        <w:jc w:val="left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bookmarkStart w:id="0" w:name="_Hlk143506140"/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</w:p>
    <w:p w14:paraId="123C0512">
      <w:pPr>
        <w:spacing w:after="0" w:afterAutospacing="0" w:line="54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表</w:t>
      </w:r>
    </w:p>
    <w:tbl>
      <w:tblPr>
        <w:tblStyle w:val="6"/>
        <w:tblpPr w:leftFromText="180" w:rightFromText="180" w:vertAnchor="text" w:horzAnchor="page" w:tblpX="1469" w:tblpY="565"/>
        <w:tblOverlap w:val="never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151"/>
        <w:gridCol w:w="2127"/>
        <w:gridCol w:w="2126"/>
        <w:gridCol w:w="2268"/>
        <w:gridCol w:w="2126"/>
      </w:tblGrid>
      <w:tr w14:paraId="39600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64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39E09C23">
            <w:pPr>
              <w:tabs>
                <w:tab w:val="left" w:pos="6474"/>
              </w:tabs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评分项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ab/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供应商名称</w:t>
            </w:r>
          </w:p>
        </w:tc>
        <w:tc>
          <w:tcPr>
            <w:tcW w:w="2127" w:type="dxa"/>
            <w:noWrap w:val="0"/>
            <w:vAlign w:val="center"/>
          </w:tcPr>
          <w:p w14:paraId="79D1DE5C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供应商1</w:t>
            </w:r>
          </w:p>
        </w:tc>
        <w:tc>
          <w:tcPr>
            <w:tcW w:w="2126" w:type="dxa"/>
            <w:noWrap w:val="0"/>
            <w:vAlign w:val="center"/>
          </w:tcPr>
          <w:p w14:paraId="16590943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供应商2</w:t>
            </w:r>
          </w:p>
        </w:tc>
        <w:tc>
          <w:tcPr>
            <w:tcW w:w="2268" w:type="dxa"/>
            <w:noWrap w:val="0"/>
            <w:vAlign w:val="center"/>
          </w:tcPr>
          <w:p w14:paraId="06BC13E2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供应商3</w:t>
            </w:r>
          </w:p>
        </w:tc>
        <w:tc>
          <w:tcPr>
            <w:tcW w:w="2126" w:type="dxa"/>
            <w:noWrap w:val="0"/>
            <w:vAlign w:val="center"/>
          </w:tcPr>
          <w:p w14:paraId="1B993A6F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供应商4</w:t>
            </w:r>
          </w:p>
        </w:tc>
      </w:tr>
      <w:tr w14:paraId="7B77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3" w:type="dxa"/>
            <w:noWrap w:val="0"/>
            <w:vAlign w:val="center"/>
          </w:tcPr>
          <w:p w14:paraId="636E7936">
            <w:pPr>
              <w:adjustRightInd w:val="0"/>
              <w:snapToGrid w:val="0"/>
              <w:spacing w:line="54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51" w:type="dxa"/>
            <w:noWrap w:val="0"/>
            <w:vAlign w:val="center"/>
          </w:tcPr>
          <w:p w14:paraId="58FAE3A8">
            <w:pPr>
              <w:spacing w:line="540" w:lineRule="exact"/>
              <w:jc w:val="left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经评标委员会一致认定满足招标文件要求，且投标价格最低的中选。</w:t>
            </w:r>
          </w:p>
        </w:tc>
        <w:tc>
          <w:tcPr>
            <w:tcW w:w="2127" w:type="dxa"/>
            <w:noWrap w:val="0"/>
            <w:vAlign w:val="center"/>
          </w:tcPr>
          <w:p w14:paraId="514601B2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F7E570B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3D00E76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C1A905F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</w:tr>
      <w:bookmarkEnd w:id="0"/>
    </w:tbl>
    <w:p w14:paraId="0FF83929">
      <w:pPr>
        <w:pStyle w:val="2"/>
        <w:spacing w:line="540" w:lineRule="exact"/>
        <w:jc w:val="left"/>
        <w:rPr>
          <w:rFonts w:hint="eastAsia"/>
          <w:sz w:val="32"/>
        </w:rPr>
      </w:pPr>
    </w:p>
    <w:p w14:paraId="681B06C8">
      <w:pPr>
        <w:spacing w:before="0" w:beforeAutospacing="0" w:after="0" w:afterAutospacing="0" w:line="540" w:lineRule="exact"/>
        <w:rPr>
          <w:rFonts w:ascii="宋体" w:hAnsi="宋体" w:cs="宋体"/>
          <w:sz w:val="32"/>
          <w:szCs w:val="32"/>
        </w:rPr>
        <w:sectPr>
          <w:footerReference r:id="rId5" w:type="default"/>
          <w:pgSz w:w="16840" w:h="11907" w:orient="landscape"/>
          <w:pgMar w:top="1418" w:right="1304" w:bottom="1418" w:left="1304" w:header="720" w:footer="720" w:gutter="0"/>
          <w:cols w:space="720" w:num="1"/>
          <w:docGrid w:linePitch="285" w:charSpace="0"/>
        </w:sectPr>
      </w:pPr>
    </w:p>
    <w:p w14:paraId="6B4E1B0C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3.评分汇总表</w:t>
      </w:r>
    </w:p>
    <w:p w14:paraId="0CB7A009">
      <w:pPr>
        <w:spacing w:after="0" w:afterAutospacing="0" w:line="540" w:lineRule="exact"/>
        <w:ind w:firstLine="649" w:firstLineChars="202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汇 总 表</w:t>
      </w:r>
    </w:p>
    <w:tbl>
      <w:tblPr>
        <w:tblStyle w:val="6"/>
        <w:tblW w:w="897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7"/>
        <w:gridCol w:w="1653"/>
        <w:gridCol w:w="1653"/>
        <w:gridCol w:w="1653"/>
        <w:gridCol w:w="1456"/>
      </w:tblGrid>
      <w:tr w14:paraId="6763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0B14FB61"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日期：</w:t>
            </w:r>
          </w:p>
        </w:tc>
      </w:tr>
      <w:tr w14:paraId="1813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B67457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  家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E48C14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专家姓名</w:t>
            </w:r>
          </w:p>
        </w:tc>
        <w:tc>
          <w:tcPr>
            <w:tcW w:w="6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B1AFA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报价</w:t>
            </w:r>
          </w:p>
        </w:tc>
      </w:tr>
      <w:tr w14:paraId="69D17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7731A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703848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841493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E6C01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DC9FBD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供应商3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D7BD64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供应商4</w:t>
            </w:r>
          </w:p>
        </w:tc>
      </w:tr>
      <w:tr w14:paraId="65602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AE233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</w:t>
            </w: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D8F810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716AD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DE82F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2AB30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C0F6C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38AD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3EA5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7931C1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1263A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2550C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67F5E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95FDC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4B037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6CD9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F24590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C1412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C3379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9D665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6527C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2D52E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7D08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5437BB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6BE34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DC63F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84C8A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6B312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582E4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9D57D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9B4E90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8DC5D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EEC49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E8871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BD02E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73EBE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6C27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D37497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3D044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42C7B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6CA52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CDEF4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60087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2D1F4A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排  序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AD3CD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5BC21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BA0D5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D5483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73877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7EA41B3">
            <w:pPr>
              <w:widowControl/>
              <w:spacing w:line="54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评审小组（签名）：</w:t>
            </w:r>
          </w:p>
        </w:tc>
      </w:tr>
    </w:tbl>
    <w:p w14:paraId="453892CC">
      <w:pPr>
        <w:pStyle w:val="3"/>
        <w:spacing w:before="0" w:beforeAutospacing="0" w:after="0" w:afterAutospacing="0" w:line="540" w:lineRule="exact"/>
        <w:rPr>
          <w:rFonts w:hint="eastAsia" w:ascii="宋体" w:hAnsi="宋体" w:eastAsia="宋体" w:cs="宋体"/>
          <w:sz w:val="32"/>
        </w:rPr>
      </w:pPr>
      <w:bookmarkStart w:id="1" w:name="_Toc21733"/>
      <w:bookmarkStart w:id="2" w:name="_Toc406671689"/>
      <w:bookmarkStart w:id="3" w:name="_Toc406670730"/>
      <w:bookmarkStart w:id="4" w:name="_Toc406671101"/>
      <w:bookmarkStart w:id="5" w:name="_Toc406672392"/>
    </w:p>
    <w:p w14:paraId="74F966AC">
      <w:pPr>
        <w:pStyle w:val="2"/>
      </w:pPr>
      <w:r>
        <w:rPr>
          <w:rFonts w:hint="eastAsia"/>
        </w:rPr>
        <w:br w:type="page"/>
      </w:r>
      <w:r>
        <w:rPr>
          <w:rFonts w:hint="eastAsia"/>
        </w:rPr>
        <w:t>废标条款</w:t>
      </w:r>
      <w:bookmarkEnd w:id="1"/>
      <w:bookmarkEnd w:id="2"/>
      <w:bookmarkEnd w:id="3"/>
      <w:bookmarkEnd w:id="4"/>
      <w:bookmarkEnd w:id="5"/>
    </w:p>
    <w:p w14:paraId="58023F9B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出现下列情形之一的，本项目作废标处理,项目评审终止：</w:t>
      </w:r>
    </w:p>
    <w:p w14:paraId="2ACD6E97">
      <w:pPr>
        <w:spacing w:before="0" w:beforeAutospacing="0" w:after="0" w:afterAutospacing="0" w:line="540" w:lineRule="exact"/>
        <w:ind w:left="783" w:leftChars="228" w:hanging="304" w:hangingChars="9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1.符合专业条件的或对采购文件作实质响应的有效投标供应商不足</w:t>
      </w:r>
      <w:r>
        <w:rPr>
          <w:rFonts w:hint="eastAsia" w:ascii="宋体" w:hAnsi="宋体" w:cs="宋体"/>
          <w:b/>
          <w:bCs/>
          <w:sz w:val="32"/>
          <w:szCs w:val="32"/>
        </w:rPr>
        <w:t>三</w:t>
      </w:r>
      <w:r>
        <w:rPr>
          <w:rFonts w:hint="eastAsia" w:ascii="宋体" w:hAnsi="宋体" w:cs="宋体"/>
          <w:sz w:val="32"/>
          <w:szCs w:val="32"/>
        </w:rPr>
        <w:t>家的；</w:t>
      </w:r>
    </w:p>
    <w:p w14:paraId="167578EA">
      <w:pPr>
        <w:spacing w:before="0" w:beforeAutospacing="0" w:after="0" w:afterAutospacing="0" w:line="540" w:lineRule="exact"/>
        <w:ind w:left="783" w:leftChars="228" w:hanging="304" w:hangingChars="9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2.出现影响采购公正的违法、违规行为的；</w:t>
      </w:r>
    </w:p>
    <w:p w14:paraId="1F608FB7">
      <w:pPr>
        <w:spacing w:before="0" w:beforeAutospacing="0" w:after="0" w:afterAutospacing="0" w:line="540" w:lineRule="exact"/>
        <w:ind w:left="783" w:leftChars="228" w:hanging="304" w:hangingChars="9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3.因重大变故，采购任务取消的；</w:t>
      </w:r>
    </w:p>
    <w:p w14:paraId="47F98DBC">
      <w:pPr>
        <w:spacing w:before="0" w:beforeAutospacing="0" w:after="0" w:afterAutospacing="0" w:line="540" w:lineRule="exact"/>
        <w:ind w:left="783" w:leftChars="228" w:hanging="304" w:hangingChars="9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4.法律法规规定的其他情形</w:t>
      </w:r>
    </w:p>
    <w:p w14:paraId="64E3CA49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sz w:val="32"/>
        </w:rPr>
      </w:pPr>
      <w:bookmarkStart w:id="6" w:name="_Toc406670731"/>
      <w:bookmarkStart w:id="7" w:name="_Toc406672393"/>
      <w:bookmarkStart w:id="8" w:name="_Toc406671690"/>
      <w:bookmarkStart w:id="9" w:name="_Toc28521"/>
      <w:bookmarkStart w:id="10" w:name="_Toc406671102"/>
    </w:p>
    <w:p w14:paraId="0537297E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b/>
          <w:bCs w:val="0"/>
          <w:sz w:val="32"/>
        </w:rPr>
      </w:pPr>
      <w:r>
        <w:rPr>
          <w:rFonts w:hint="eastAsia" w:ascii="宋体" w:hAnsi="宋体" w:eastAsia="宋体" w:cs="宋体"/>
          <w:b/>
          <w:bCs w:val="0"/>
          <w:sz w:val="32"/>
        </w:rPr>
        <w:t xml:space="preserve"> 无效标条款</w:t>
      </w:r>
      <w:bookmarkEnd w:id="6"/>
      <w:bookmarkEnd w:id="7"/>
      <w:bookmarkEnd w:id="8"/>
      <w:bookmarkEnd w:id="9"/>
      <w:bookmarkEnd w:id="10"/>
    </w:p>
    <w:p w14:paraId="34C4F4AB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出现下列情形之一的，供应商递交的投标文件作无效标处理，该供应商的投标文件不参与评审，且不计算入投标供应商家数：</w:t>
      </w:r>
    </w:p>
    <w:p w14:paraId="37951625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1.递交的投标文件不完整或未按采购文件要求加盖公章及签字的；</w:t>
      </w:r>
    </w:p>
    <w:p w14:paraId="10CDD7FF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2.供应商不符合国家及采购文件规定的资格条件的；</w:t>
      </w:r>
    </w:p>
    <w:p w14:paraId="0B80649F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3.投标文件对采购文件的实质性要求和条件未作出响应的；</w:t>
      </w:r>
    </w:p>
    <w:p w14:paraId="70B1262D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4.供应商有串通投标、弄虚作假、行贿等违法行为的；</w:t>
      </w:r>
    </w:p>
    <w:p w14:paraId="7C840667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5.投标文件未胶装成册的（采用打孔装订、活页夹等方式装订的投标文件作为无效投标处理）；</w:t>
      </w:r>
    </w:p>
    <w:p w14:paraId="3C112B5F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6.投标有效期不满足采购文件要求的；</w:t>
      </w:r>
    </w:p>
    <w:p w14:paraId="62C97148">
      <w:pPr>
        <w:spacing w:before="0" w:beforeAutospacing="0" w:after="0" w:afterAutospacing="0" w:line="540" w:lineRule="exact"/>
        <w:ind w:firstLine="646" w:firstLineChars="20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7.法定代表人为同一个人的两个及以上法人，母公司、全资子公司及其控股公司，在同一采购项目/品目中同时投标的； </w:t>
      </w:r>
    </w:p>
    <w:p w14:paraId="41DA83E4">
      <w:pPr>
        <w:spacing w:before="0" w:beforeAutospacing="0" w:after="0" w:afterAutospacing="0" w:line="540" w:lineRule="exact"/>
        <w:ind w:firstLine="656" w:firstLineChars="205"/>
        <w:jc w:val="center"/>
        <w:rPr>
          <w:rFonts w:ascii="宋体" w:hAnsi="宋体" w:cs="宋体"/>
          <w:sz w:val="32"/>
          <w:szCs w:val="32"/>
        </w:rPr>
      </w:pPr>
      <w:bookmarkStart w:id="11" w:name="_Toc406670741"/>
      <w:bookmarkStart w:id="12" w:name="_Toc406671700"/>
      <w:bookmarkStart w:id="13" w:name="_Toc20354"/>
      <w:bookmarkStart w:id="14" w:name="_Toc406672403"/>
      <w:bookmarkStart w:id="15" w:name="_Toc406671112"/>
      <w:r>
        <w:rPr>
          <w:rFonts w:hint="eastAsia" w:ascii="宋体" w:hAnsi="宋体" w:cs="宋体"/>
          <w:sz w:val="32"/>
          <w:szCs w:val="32"/>
        </w:rPr>
        <w:br w:type="page"/>
      </w:r>
      <w:r>
        <w:rPr>
          <w:rFonts w:hint="eastAsia" w:ascii="宋体" w:hAnsi="宋体" w:cs="宋体"/>
          <w:sz w:val="32"/>
          <w:szCs w:val="32"/>
        </w:rPr>
        <w:t>询价采购程序</w:t>
      </w:r>
    </w:p>
    <w:p w14:paraId="1F744E1C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一、开标时间</w:t>
      </w:r>
    </w:p>
    <w:p w14:paraId="0657CCEF">
      <w:pPr>
        <w:widowControl/>
        <w:spacing w:before="0" w:beforeAutospacing="0" w:after="0" w:afterAutospacing="0" w:line="540" w:lineRule="exact"/>
        <w:ind w:firstLine="636" w:firstLineChars="200"/>
        <w:rPr>
          <w:rFonts w:hint="eastAsia" w:ascii="仿宋_GB2312" w:hAnsi="宋体" w:eastAsia="仿宋_GB2312" w:cs="宋体"/>
          <w:spacing w:val="-1"/>
          <w:sz w:val="32"/>
          <w:szCs w:val="32"/>
        </w:rPr>
      </w:pPr>
      <w:r>
        <w:rPr>
          <w:rFonts w:hint="eastAsia" w:ascii="仿宋_GB2312" w:hAnsi="宋体" w:eastAsia="仿宋_GB2312" w:cs="宋体"/>
          <w:spacing w:val="-1"/>
          <w:sz w:val="32"/>
          <w:szCs w:val="32"/>
        </w:rPr>
        <w:t>暂定2024年12月4日14:30，如开标时间有变更，不再发布评审时间变更公告。</w:t>
      </w:r>
    </w:p>
    <w:p w14:paraId="38384066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二、开标地点</w:t>
      </w:r>
    </w:p>
    <w:p w14:paraId="627A64B8">
      <w:pPr>
        <w:spacing w:before="0" w:beforeAutospacing="0" w:after="0" w:afterAutospacing="0" w:line="540" w:lineRule="exact"/>
        <w:ind w:firstLine="656" w:firstLineChars="205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贵州省博物馆</w:t>
      </w:r>
    </w:p>
    <w:p w14:paraId="68C2A008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三、评审流程</w:t>
      </w:r>
    </w:p>
    <w:p w14:paraId="3EE1FB8D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1.会议签到：评审小组签到，供应商于2024年12月3日14:00前递交投标文件。</w:t>
      </w:r>
    </w:p>
    <w:p w14:paraId="309E61B1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2.宣读纪律：截止时间到，工作人员宣布会场纪律和注意事项。</w:t>
      </w:r>
    </w:p>
    <w:p w14:paraId="53986863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3.初步审查：评审小组严格依据响应文件所提供的资料，对照《初步审查表》所列内容对供应商进行资格性审查及符合性审查，审查通过的供应商进入比选环节。未通过初步审查的视为废标处理。</w:t>
      </w:r>
    </w:p>
    <w:p w14:paraId="440A139C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(1)资格性检查：评审小组根据法律法规和采购文件《初步审查表》中所列供应商资格要求，对供应商资格证明文件进行审查。</w:t>
      </w:r>
    </w:p>
    <w:p w14:paraId="52F08696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(2)无效标检查：根据采购文件中的无效标条款，检查供应商的投标是否属于无效标。</w:t>
      </w:r>
    </w:p>
    <w:p w14:paraId="5A8B2B27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4.最低评标价法：评审小组对通过初步审查的供应商报价进行统计，价低者获得中标资格，价格相同者根据供应商提供的同类型项目业绩进行比较，项目业绩多者获得中标资格。</w:t>
      </w:r>
    </w:p>
    <w:p w14:paraId="3EBACBD2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四、评审小组</w:t>
      </w:r>
    </w:p>
    <w:p w14:paraId="2A576031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bookmarkStart w:id="16" w:name="_Hlk183610987"/>
      <w:r>
        <w:rPr>
          <w:rFonts w:hint="eastAsia" w:ascii="宋体" w:hAnsi="宋体" w:cs="宋体"/>
          <w:sz w:val="32"/>
          <w:szCs w:val="32"/>
        </w:rPr>
        <w:t>评审小组由5人以上单数组成</w:t>
      </w:r>
      <w:bookmarkEnd w:id="16"/>
      <w:r>
        <w:rPr>
          <w:rFonts w:hint="eastAsia" w:ascii="宋体" w:hAnsi="宋体" w:cs="宋体"/>
          <w:sz w:val="32"/>
          <w:szCs w:val="32"/>
        </w:rPr>
        <w:t>。</w:t>
      </w:r>
    </w:p>
    <w:p w14:paraId="6D80E729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sz w:val="32"/>
        </w:rPr>
      </w:pPr>
      <w:bookmarkStart w:id="17" w:name="_Toc1285"/>
      <w:r>
        <w:rPr>
          <w:rFonts w:hint="eastAsia" w:ascii="宋体" w:hAnsi="宋体" w:eastAsia="宋体" w:cs="宋体"/>
          <w:sz w:val="32"/>
        </w:rPr>
        <w:t>发布中标公告</w:t>
      </w:r>
      <w:bookmarkEnd w:id="17"/>
    </w:p>
    <w:p w14:paraId="294A3958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一、公告发布媒体</w:t>
      </w:r>
    </w:p>
    <w:p w14:paraId="2CD77947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贵州省博物馆官方网站。</w:t>
      </w:r>
    </w:p>
    <w:bookmarkEnd w:id="11"/>
    <w:bookmarkEnd w:id="12"/>
    <w:bookmarkEnd w:id="13"/>
    <w:bookmarkEnd w:id="14"/>
    <w:bookmarkEnd w:id="15"/>
    <w:p w14:paraId="3D5A9A25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sz w:val="32"/>
        </w:rPr>
      </w:pPr>
      <w:bookmarkStart w:id="18" w:name="_Toc8237"/>
    </w:p>
    <w:p w14:paraId="38AF73F2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其他说明</w:t>
      </w:r>
      <w:bookmarkEnd w:id="18"/>
    </w:p>
    <w:p w14:paraId="3313DD35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本次采购，采购人不对未中标单位作任何未中标解释。</w:t>
      </w:r>
    </w:p>
    <w:p w14:paraId="4E82E526">
      <w:pPr>
        <w:spacing w:before="0" w:beforeAutospacing="0" w:after="0" w:afterAutospacing="0" w:line="540" w:lineRule="exact"/>
        <w:jc w:val="left"/>
        <w:rPr>
          <w:sz w:val="32"/>
          <w:szCs w:val="32"/>
        </w:rPr>
      </w:pPr>
    </w:p>
    <w:p w14:paraId="23CD1911">
      <w:bookmarkStart w:id="19" w:name="_GoBack"/>
      <w:bookmarkEnd w:id="19"/>
    </w:p>
    <w:sectPr>
      <w:headerReference r:id="rId6" w:type="default"/>
      <w:footerReference r:id="rId7" w:type="default"/>
      <w:footerReference r:id="rId8" w:type="even"/>
      <w:pgSz w:w="11907" w:h="16840"/>
      <w:pgMar w:top="1531" w:right="1418" w:bottom="1361" w:left="1418" w:header="720" w:footer="720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F9C22">
    <w:pPr>
      <w:pStyle w:val="4"/>
      <w:jc w:val="center"/>
    </w:pPr>
    <w:r>
      <w:rPr>
        <w:b/>
        <w:sz w:val="24"/>
      </w:rPr>
      <w:fldChar w:fldCharType="begin"/>
    </w:r>
    <w:r>
      <w:rPr>
        <w:b/>
      </w:rPr>
      <w:instrText xml:space="preserve">PAGE</w:instrText>
    </w:r>
    <w:r>
      <w:rPr>
        <w:b/>
        <w:sz w:val="24"/>
      </w:rPr>
      <w:fldChar w:fldCharType="separate"/>
    </w:r>
    <w:r>
      <w:rPr>
        <w:b/>
      </w:rPr>
      <w:t>17</w:t>
    </w:r>
    <w:r>
      <w:rPr>
        <w:b/>
        <w:sz w:val="24"/>
      </w:rPr>
      <w:fldChar w:fldCharType="end"/>
    </w:r>
    <w:r>
      <w:rPr>
        <w:lang w:val="zh-CN"/>
      </w:rPr>
      <w:t xml:space="preserve"> / </w:t>
    </w:r>
    <w:r>
      <w:rPr>
        <w:b/>
        <w:sz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</w:rPr>
      <w:fldChar w:fldCharType="separate"/>
    </w:r>
    <w:r>
      <w:rPr>
        <w:b/>
      </w:rPr>
      <w:t>44</w:t>
    </w:r>
    <w:r>
      <w:rPr>
        <w:b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DBDB4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29002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3DB9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146E4"/>
    <w:rsid w:val="0181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jc w:val="center"/>
      <w:outlineLvl w:val="2"/>
    </w:pPr>
    <w:rPr>
      <w:rFonts w:eastAsia="黑体"/>
      <w:bCs/>
      <w:kern w:val="0"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2024-11-27T08:34:00Z</dcterms:created>
  <dc:creator>hp</dc:creator>
  <cp:lastModifiedBy>hp</cp:lastModifiedBy>
  <dcterms:modified xsi:type="dcterms:W3CDTF">2024-11-27T08:35:50Z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D166487D00F248C6B57916EA025A2D35_11</vt:lpwstr>
  </property>
</Properties>
</file>