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D83DA">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outlineLvl w:val="0"/>
        <w:rPr>
          <w:rFonts w:hint="eastAsia" w:ascii="黑体" w:hAnsi="黑体" w:eastAsia="黑体" w:cs="黑体"/>
          <w:spacing w:val="5"/>
          <w:sz w:val="32"/>
          <w:szCs w:val="32"/>
          <w:lang w:val="en-US" w:eastAsia="zh-CN"/>
        </w:rPr>
      </w:pPr>
      <w:r>
        <w:rPr>
          <w:rFonts w:hint="eastAsia" w:ascii="黑体" w:hAnsi="黑体" w:eastAsia="黑体" w:cs="黑体"/>
          <w:spacing w:val="5"/>
          <w:sz w:val="32"/>
          <w:szCs w:val="32"/>
        </w:rPr>
        <w:t>附件</w:t>
      </w:r>
      <w:r>
        <w:rPr>
          <w:rFonts w:hint="eastAsia" w:ascii="黑体" w:hAnsi="黑体" w:eastAsia="黑体" w:cs="黑体"/>
          <w:spacing w:val="5"/>
          <w:sz w:val="32"/>
          <w:szCs w:val="32"/>
          <w:lang w:val="en-US" w:eastAsia="zh-CN"/>
        </w:rPr>
        <w:t>2</w:t>
      </w:r>
    </w:p>
    <w:p w14:paraId="18141D44">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outlineLvl w:val="0"/>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pacing w:val="5"/>
          <w:sz w:val="44"/>
          <w:szCs w:val="44"/>
          <w:lang w:val="en-US" w:eastAsia="zh-CN"/>
        </w:rPr>
        <w:t>评分细则</w:t>
      </w:r>
      <w:bookmarkStart w:id="0" w:name="_GoBack"/>
      <w:bookmarkEnd w:id="0"/>
    </w:p>
    <w:tbl>
      <w:tblPr>
        <w:tblStyle w:val="3"/>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46"/>
        <w:gridCol w:w="759"/>
        <w:gridCol w:w="6633"/>
      </w:tblGrid>
      <w:tr w14:paraId="57853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706" w:type="dxa"/>
            <w:vAlign w:val="center"/>
          </w:tcPr>
          <w:p w14:paraId="250CCCA1">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序号</w:t>
            </w:r>
          </w:p>
        </w:tc>
        <w:tc>
          <w:tcPr>
            <w:tcW w:w="1446" w:type="dxa"/>
            <w:vAlign w:val="center"/>
          </w:tcPr>
          <w:p w14:paraId="487FD45F">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评分因素及权重</w:t>
            </w:r>
          </w:p>
        </w:tc>
        <w:tc>
          <w:tcPr>
            <w:tcW w:w="759" w:type="dxa"/>
            <w:vAlign w:val="center"/>
          </w:tcPr>
          <w:p w14:paraId="18A072C3">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分值</w:t>
            </w:r>
          </w:p>
        </w:tc>
        <w:tc>
          <w:tcPr>
            <w:tcW w:w="6633" w:type="dxa"/>
            <w:vAlign w:val="center"/>
          </w:tcPr>
          <w:p w14:paraId="0EFCDA37">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评分标准</w:t>
            </w:r>
          </w:p>
        </w:tc>
      </w:tr>
      <w:tr w14:paraId="4531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706" w:type="dxa"/>
            <w:vAlign w:val="center"/>
          </w:tcPr>
          <w:p w14:paraId="5CF9238B">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1446" w:type="dxa"/>
            <w:vAlign w:val="center"/>
          </w:tcPr>
          <w:p w14:paraId="1A9FDA71">
            <w:pPr>
              <w:keepNext w:val="0"/>
              <w:keepLines w:val="0"/>
              <w:pageBreakBefore w:val="0"/>
              <w:widowControl w:val="0"/>
              <w:kinsoku/>
              <w:wordWrap/>
              <w:overflowPunct/>
              <w:topLinePunct w:val="0"/>
              <w:bidi w:val="0"/>
              <w:adjustRightInd/>
              <w:snapToGrid/>
              <w:spacing w:line="400" w:lineRule="exact"/>
              <w:ind w:left="0" w:firstLine="0" w:firstLineChars="0"/>
              <w:jc w:val="center"/>
              <w:textAlignment w:val="baseline"/>
              <w:rPr>
                <w:rStyle w:val="5"/>
                <w:rFonts w:hint="eastAsia" w:ascii="仿宋_GB2312" w:hAnsi="仿宋_GB2312" w:eastAsia="仿宋_GB2312" w:cs="仿宋_GB2312"/>
                <w:color w:val="000000"/>
                <w:sz w:val="21"/>
                <w:szCs w:val="21"/>
              </w:rPr>
            </w:pPr>
            <w:r>
              <w:rPr>
                <w:rStyle w:val="5"/>
                <w:rFonts w:hint="eastAsia" w:ascii="仿宋_GB2312" w:hAnsi="仿宋_GB2312" w:eastAsia="仿宋_GB2312" w:cs="仿宋_GB2312"/>
                <w:color w:val="000000"/>
                <w:sz w:val="21"/>
                <w:szCs w:val="21"/>
              </w:rPr>
              <w:t>报价</w:t>
            </w:r>
          </w:p>
          <w:p w14:paraId="5986D409">
            <w:pPr>
              <w:keepNext w:val="0"/>
              <w:keepLines w:val="0"/>
              <w:pageBreakBefore w:val="0"/>
              <w:widowControl w:val="0"/>
              <w:kinsoku/>
              <w:wordWrap/>
              <w:overflowPunct/>
              <w:topLinePunct w:val="0"/>
              <w:bidi w:val="0"/>
              <w:adjustRightInd/>
              <w:snapToGrid/>
              <w:spacing w:line="400" w:lineRule="exact"/>
              <w:ind w:left="0" w:firstLine="0" w:firstLineChars="0"/>
              <w:jc w:val="center"/>
              <w:textAlignment w:val="baseline"/>
              <w:rPr>
                <w:rStyle w:val="5"/>
                <w:rFonts w:hint="eastAsia" w:ascii="仿宋_GB2312" w:hAnsi="仿宋_GB2312" w:eastAsia="仿宋_GB2312" w:cs="仿宋_GB2312"/>
                <w:color w:val="000000"/>
                <w:sz w:val="21"/>
                <w:szCs w:val="21"/>
              </w:rPr>
            </w:pPr>
            <w:r>
              <w:rPr>
                <w:rStyle w:val="5"/>
                <w:rFonts w:hint="eastAsia" w:ascii="仿宋_GB2312" w:hAnsi="仿宋_GB2312" w:eastAsia="仿宋_GB2312" w:cs="仿宋_GB2312"/>
                <w:color w:val="000000"/>
                <w:sz w:val="21"/>
                <w:szCs w:val="21"/>
              </w:rPr>
              <w:t>10%</w:t>
            </w:r>
          </w:p>
        </w:tc>
        <w:tc>
          <w:tcPr>
            <w:tcW w:w="759" w:type="dxa"/>
            <w:vAlign w:val="center"/>
          </w:tcPr>
          <w:p w14:paraId="2F4A11BE">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6633" w:type="dxa"/>
            <w:vAlign w:val="center"/>
          </w:tcPr>
          <w:p w14:paraId="1CA6E768">
            <w:pPr>
              <w:keepNext w:val="0"/>
              <w:keepLines w:val="0"/>
              <w:pageBreakBefore w:val="0"/>
              <w:widowControl w:val="0"/>
              <w:kinsoku/>
              <w:wordWrap/>
              <w:overflowPunct/>
              <w:topLinePunct w:val="0"/>
              <w:bidi w:val="0"/>
              <w:adjustRightInd/>
              <w:snapToGrid/>
              <w:spacing w:line="400" w:lineRule="exact"/>
              <w:ind w:left="0" w:firstLine="0" w:firstLineChars="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报价得分=（评标基准价/有效最后报价）×10%×100（评标基准价指满足磋商文件要求的最低有效最后报价，有效最后报价指资格性审查和符合性审查合格且未超过预算的有效最后报价）。</w:t>
            </w:r>
          </w:p>
        </w:tc>
      </w:tr>
      <w:tr w14:paraId="7D33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706" w:type="dxa"/>
            <w:vAlign w:val="center"/>
          </w:tcPr>
          <w:p w14:paraId="7B46CA8F">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1446" w:type="dxa"/>
            <w:vAlign w:val="center"/>
          </w:tcPr>
          <w:p w14:paraId="4644C643">
            <w:pPr>
              <w:keepNext w:val="0"/>
              <w:keepLines w:val="0"/>
              <w:pageBreakBefore w:val="0"/>
              <w:widowControl w:val="0"/>
              <w:kinsoku/>
              <w:wordWrap/>
              <w:overflowPunct/>
              <w:topLinePunct w:val="0"/>
              <w:bidi w:val="0"/>
              <w:adjustRightInd/>
              <w:snapToGrid/>
              <w:spacing w:line="400" w:lineRule="exact"/>
              <w:ind w:left="0" w:firstLine="0" w:firstLineChars="0"/>
              <w:jc w:val="center"/>
              <w:textAlignment w:val="baseline"/>
              <w:rPr>
                <w:rStyle w:val="5"/>
                <w:rFonts w:hint="eastAsia" w:ascii="仿宋_GB2312" w:hAnsi="仿宋_GB2312" w:eastAsia="仿宋_GB2312" w:cs="仿宋_GB2312"/>
                <w:color w:val="000000"/>
                <w:sz w:val="21"/>
                <w:szCs w:val="21"/>
              </w:rPr>
            </w:pPr>
            <w:r>
              <w:rPr>
                <w:rStyle w:val="5"/>
                <w:rFonts w:hint="eastAsia" w:ascii="仿宋_GB2312" w:hAnsi="仿宋_GB2312" w:eastAsia="仿宋_GB2312" w:cs="仿宋_GB2312"/>
                <w:color w:val="000000"/>
                <w:sz w:val="21"/>
                <w:szCs w:val="21"/>
              </w:rPr>
              <w:t xml:space="preserve">履约能力 </w:t>
            </w:r>
            <w:r>
              <w:rPr>
                <w:rStyle w:val="5"/>
                <w:rFonts w:hint="eastAsia" w:ascii="仿宋_GB2312" w:hAnsi="仿宋_GB2312" w:eastAsia="仿宋_GB2312" w:cs="仿宋_GB2312"/>
                <w:color w:val="000000"/>
                <w:sz w:val="21"/>
                <w:szCs w:val="21"/>
                <w:lang w:val="en-US" w:eastAsia="zh-CN"/>
              </w:rPr>
              <w:t>25</w:t>
            </w:r>
            <w:r>
              <w:rPr>
                <w:rStyle w:val="5"/>
                <w:rFonts w:hint="eastAsia" w:ascii="仿宋_GB2312" w:hAnsi="仿宋_GB2312" w:eastAsia="仿宋_GB2312" w:cs="仿宋_GB2312"/>
                <w:color w:val="000000"/>
                <w:sz w:val="21"/>
                <w:szCs w:val="21"/>
              </w:rPr>
              <w:t>%</w:t>
            </w:r>
          </w:p>
        </w:tc>
        <w:tc>
          <w:tcPr>
            <w:tcW w:w="759" w:type="dxa"/>
            <w:vAlign w:val="center"/>
          </w:tcPr>
          <w:p w14:paraId="5BE9EDE2">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25</w:t>
            </w:r>
            <w:r>
              <w:rPr>
                <w:rFonts w:hint="eastAsia" w:ascii="仿宋_GB2312" w:hAnsi="仿宋_GB2312" w:eastAsia="仿宋_GB2312" w:cs="仿宋_GB2312"/>
                <w:color w:val="000000"/>
                <w:sz w:val="21"/>
                <w:szCs w:val="21"/>
              </w:rPr>
              <w:t>分</w:t>
            </w:r>
          </w:p>
        </w:tc>
        <w:tc>
          <w:tcPr>
            <w:tcW w:w="6633" w:type="dxa"/>
            <w:vAlign w:val="center"/>
          </w:tcPr>
          <w:p w14:paraId="7E1842FB">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color w:val="000000"/>
                <w:sz w:val="21"/>
                <w:szCs w:val="21"/>
              </w:rPr>
              <w:t>自2</w:t>
            </w:r>
            <w:r>
              <w:rPr>
                <w:rFonts w:hint="eastAsia" w:ascii="仿宋_GB2312" w:hAnsi="仿宋_GB2312" w:eastAsia="仿宋_GB2312" w:cs="仿宋_GB2312"/>
                <w:color w:val="000000"/>
                <w:sz w:val="21"/>
                <w:szCs w:val="21"/>
                <w:lang w:val="en-US" w:eastAsia="zh-CN"/>
              </w:rPr>
              <w:t>021</w:t>
            </w:r>
            <w:r>
              <w:rPr>
                <w:rFonts w:hint="eastAsia" w:ascii="仿宋_GB2312" w:hAnsi="仿宋_GB2312" w:eastAsia="仿宋_GB2312" w:cs="仿宋_GB2312"/>
                <w:color w:val="000000"/>
                <w:sz w:val="21"/>
                <w:szCs w:val="21"/>
              </w:rPr>
              <w:t>年1月1日以来，供应商每有一个类似项目业绩</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网站运维</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得</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bCs/>
                <w:color w:val="000000"/>
                <w:sz w:val="21"/>
                <w:szCs w:val="21"/>
              </w:rPr>
              <w:t>分，本项最多得</w:t>
            </w:r>
            <w:r>
              <w:rPr>
                <w:rFonts w:hint="eastAsia" w:ascii="仿宋_GB2312" w:hAnsi="仿宋_GB2312" w:eastAsia="仿宋_GB2312" w:cs="仿宋_GB2312"/>
                <w:bCs/>
                <w:color w:val="000000"/>
                <w:sz w:val="21"/>
                <w:szCs w:val="21"/>
                <w:lang w:val="en-US" w:eastAsia="zh-CN"/>
              </w:rPr>
              <w:t>25</w:t>
            </w:r>
            <w:r>
              <w:rPr>
                <w:rFonts w:hint="eastAsia" w:ascii="仿宋_GB2312" w:hAnsi="仿宋_GB2312" w:eastAsia="仿宋_GB2312" w:cs="仿宋_GB2312"/>
                <w:bCs/>
                <w:color w:val="000000"/>
                <w:sz w:val="21"/>
                <w:szCs w:val="21"/>
              </w:rPr>
              <w:t>分。</w:t>
            </w:r>
          </w:p>
          <w:p w14:paraId="355C16D4">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sz w:val="21"/>
                <w:szCs w:val="21"/>
              </w:rPr>
              <w:t>注：以合同签订时间为准，提供合同或中标通知书复印件，加盖投标人鲜章，不提供不得分。</w:t>
            </w:r>
          </w:p>
        </w:tc>
      </w:tr>
      <w:tr w14:paraId="398B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706" w:type="dxa"/>
            <w:vAlign w:val="center"/>
          </w:tcPr>
          <w:p w14:paraId="3F076E56">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1446" w:type="dxa"/>
            <w:vAlign w:val="center"/>
          </w:tcPr>
          <w:p w14:paraId="526E097C">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人员</w:t>
            </w:r>
            <w:r>
              <w:rPr>
                <w:rFonts w:hint="eastAsia" w:ascii="仿宋_GB2312" w:hAnsi="仿宋_GB2312" w:eastAsia="仿宋_GB2312" w:cs="仿宋_GB2312"/>
                <w:bCs/>
                <w:color w:val="000000"/>
                <w:sz w:val="21"/>
                <w:szCs w:val="21"/>
                <w:lang w:val="en-US" w:eastAsia="zh-CN"/>
              </w:rPr>
              <w:t>配置</w:t>
            </w:r>
            <w:r>
              <w:rPr>
                <w:rFonts w:hint="eastAsia" w:ascii="仿宋_GB2312" w:hAnsi="仿宋_GB2312" w:eastAsia="仿宋_GB2312" w:cs="仿宋_GB2312"/>
                <w:bCs/>
                <w:color w:val="000000"/>
                <w:sz w:val="21"/>
                <w:szCs w:val="21"/>
              </w:rPr>
              <w:t xml:space="preserve"> </w:t>
            </w:r>
            <w:r>
              <w:rPr>
                <w:rFonts w:hint="eastAsia" w:ascii="仿宋_GB2312" w:hAnsi="仿宋_GB2312" w:eastAsia="仿宋_GB2312" w:cs="仿宋_GB2312"/>
                <w:bCs/>
                <w:color w:val="000000"/>
                <w:sz w:val="21"/>
                <w:szCs w:val="21"/>
                <w:lang w:val="en-US" w:eastAsia="zh-CN"/>
              </w:rPr>
              <w:t>30</w:t>
            </w:r>
            <w:r>
              <w:rPr>
                <w:rFonts w:hint="eastAsia" w:ascii="仿宋_GB2312" w:hAnsi="仿宋_GB2312" w:eastAsia="仿宋_GB2312" w:cs="仿宋_GB2312"/>
                <w:bCs/>
                <w:color w:val="000000"/>
                <w:sz w:val="21"/>
                <w:szCs w:val="21"/>
              </w:rPr>
              <w:t>%</w:t>
            </w:r>
          </w:p>
        </w:tc>
        <w:tc>
          <w:tcPr>
            <w:tcW w:w="759" w:type="dxa"/>
            <w:vAlign w:val="center"/>
          </w:tcPr>
          <w:p w14:paraId="66CCFD71">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lang w:val="en-US" w:eastAsia="zh-CN"/>
              </w:rPr>
              <w:t>30</w:t>
            </w:r>
            <w:r>
              <w:rPr>
                <w:rFonts w:hint="eastAsia" w:ascii="仿宋_GB2312" w:hAnsi="仿宋_GB2312" w:eastAsia="仿宋_GB2312" w:cs="仿宋_GB2312"/>
                <w:bCs/>
                <w:color w:val="000000"/>
                <w:sz w:val="21"/>
                <w:szCs w:val="21"/>
              </w:rPr>
              <w:t>分</w:t>
            </w:r>
          </w:p>
        </w:tc>
        <w:tc>
          <w:tcPr>
            <w:tcW w:w="6633" w:type="dxa"/>
            <w:vAlign w:val="center"/>
          </w:tcPr>
          <w:p w14:paraId="30BE85C0">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1、项目负责人</w:t>
            </w:r>
            <w:r>
              <w:rPr>
                <w:rFonts w:hint="eastAsia" w:ascii="仿宋_GB2312" w:hAnsi="仿宋_GB2312" w:eastAsia="仿宋_GB2312" w:cs="仿宋_GB2312"/>
                <w:bCs/>
                <w:color w:val="000000"/>
                <w:sz w:val="21"/>
                <w:szCs w:val="21"/>
                <w:lang w:eastAsia="zh-CN"/>
              </w:rPr>
              <w:t>：</w:t>
            </w:r>
            <w:r>
              <w:rPr>
                <w:rFonts w:hint="eastAsia" w:ascii="仿宋_GB2312" w:hAnsi="仿宋_GB2312" w:eastAsia="仿宋_GB2312" w:cs="仿宋_GB2312"/>
                <w:bCs/>
                <w:color w:val="000000"/>
                <w:sz w:val="21"/>
                <w:szCs w:val="21"/>
              </w:rPr>
              <w:t>具有文博专业中级（或以上）职称得</w:t>
            </w:r>
            <w:r>
              <w:rPr>
                <w:rFonts w:hint="eastAsia" w:ascii="仿宋_GB2312" w:hAnsi="仿宋_GB2312" w:eastAsia="仿宋_GB2312" w:cs="仿宋_GB2312"/>
                <w:bCs/>
                <w:color w:val="000000"/>
                <w:sz w:val="21"/>
                <w:szCs w:val="21"/>
                <w:lang w:val="en-US" w:eastAsia="zh-CN"/>
              </w:rPr>
              <w:t>10</w:t>
            </w:r>
            <w:r>
              <w:rPr>
                <w:rFonts w:hint="eastAsia" w:ascii="仿宋_GB2312" w:hAnsi="仿宋_GB2312" w:eastAsia="仿宋_GB2312" w:cs="仿宋_GB2312"/>
                <w:bCs/>
                <w:color w:val="000000"/>
                <w:sz w:val="21"/>
                <w:szCs w:val="21"/>
              </w:rPr>
              <w:t>分，具有文博专业初级职称的得</w:t>
            </w:r>
            <w:r>
              <w:rPr>
                <w:rFonts w:hint="eastAsia" w:ascii="仿宋_GB2312" w:hAnsi="仿宋_GB2312" w:eastAsia="仿宋_GB2312" w:cs="仿宋_GB2312"/>
                <w:bCs/>
                <w:color w:val="000000"/>
                <w:sz w:val="21"/>
                <w:szCs w:val="21"/>
                <w:lang w:val="en-US" w:eastAsia="zh-CN"/>
              </w:rPr>
              <w:t>5</w:t>
            </w:r>
            <w:r>
              <w:rPr>
                <w:rFonts w:hint="eastAsia" w:ascii="仿宋_GB2312" w:hAnsi="仿宋_GB2312" w:eastAsia="仿宋_GB2312" w:cs="仿宋_GB2312"/>
                <w:bCs/>
                <w:color w:val="000000"/>
                <w:sz w:val="21"/>
                <w:szCs w:val="21"/>
              </w:rPr>
              <w:t>分，此项最高得</w:t>
            </w:r>
            <w:r>
              <w:rPr>
                <w:rFonts w:hint="eastAsia" w:ascii="仿宋_GB2312" w:hAnsi="仿宋_GB2312" w:eastAsia="仿宋_GB2312" w:cs="仿宋_GB2312"/>
                <w:bCs/>
                <w:color w:val="000000"/>
                <w:sz w:val="21"/>
                <w:szCs w:val="21"/>
                <w:lang w:val="en-US" w:eastAsia="zh-CN"/>
              </w:rPr>
              <w:t>10</w:t>
            </w:r>
            <w:r>
              <w:rPr>
                <w:rFonts w:hint="eastAsia" w:ascii="仿宋_GB2312" w:hAnsi="仿宋_GB2312" w:eastAsia="仿宋_GB2312" w:cs="仿宋_GB2312"/>
                <w:bCs/>
                <w:color w:val="000000"/>
                <w:sz w:val="21"/>
                <w:szCs w:val="21"/>
              </w:rPr>
              <w:t>分；</w:t>
            </w:r>
          </w:p>
          <w:p w14:paraId="0CC70E3F">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2、项目组其他人员（除项目负责人之外）</w:t>
            </w:r>
            <w:r>
              <w:rPr>
                <w:rFonts w:hint="eastAsia" w:ascii="仿宋_GB2312" w:hAnsi="仿宋_GB2312" w:eastAsia="仿宋_GB2312" w:cs="仿宋_GB2312"/>
                <w:bCs/>
                <w:color w:val="000000"/>
                <w:sz w:val="21"/>
                <w:szCs w:val="21"/>
                <w:lang w:eastAsia="zh-CN"/>
              </w:rPr>
              <w:t>：</w:t>
            </w:r>
            <w:r>
              <w:rPr>
                <w:rFonts w:hint="eastAsia" w:ascii="仿宋_GB2312" w:hAnsi="仿宋_GB2312" w:eastAsia="仿宋_GB2312" w:cs="仿宋_GB2312"/>
                <w:bCs/>
                <w:color w:val="000000"/>
                <w:sz w:val="21"/>
                <w:szCs w:val="21"/>
              </w:rPr>
              <w:t>具有</w:t>
            </w:r>
            <w:r>
              <w:rPr>
                <w:rFonts w:hint="eastAsia" w:ascii="仿宋_GB2312" w:hAnsi="仿宋_GB2312" w:eastAsia="仿宋_GB2312" w:cs="仿宋_GB2312"/>
                <w:bCs/>
                <w:color w:val="000000"/>
                <w:sz w:val="21"/>
                <w:szCs w:val="21"/>
                <w:lang w:val="en-US" w:eastAsia="zh-CN"/>
              </w:rPr>
              <w:t>计算机类、电子类、设计类、</w:t>
            </w:r>
            <w:r>
              <w:rPr>
                <w:rFonts w:hint="eastAsia" w:ascii="仿宋_GB2312" w:hAnsi="仿宋_GB2312" w:eastAsia="仿宋_GB2312" w:cs="仿宋_GB2312"/>
                <w:bCs/>
                <w:color w:val="000000"/>
                <w:sz w:val="21"/>
                <w:szCs w:val="21"/>
              </w:rPr>
              <w:t>历史学类、博物馆学类等相关专业毕业证书的，每人得</w:t>
            </w:r>
            <w:r>
              <w:rPr>
                <w:rFonts w:hint="eastAsia" w:ascii="仿宋_GB2312" w:hAnsi="仿宋_GB2312" w:eastAsia="仿宋_GB2312" w:cs="仿宋_GB2312"/>
                <w:bCs/>
                <w:color w:val="000000"/>
                <w:sz w:val="21"/>
                <w:szCs w:val="21"/>
                <w:lang w:val="en-US" w:eastAsia="zh-CN"/>
              </w:rPr>
              <w:t>5</w:t>
            </w:r>
            <w:r>
              <w:rPr>
                <w:rFonts w:hint="eastAsia" w:ascii="仿宋_GB2312" w:hAnsi="仿宋_GB2312" w:eastAsia="仿宋_GB2312" w:cs="仿宋_GB2312"/>
                <w:bCs/>
                <w:color w:val="000000"/>
                <w:sz w:val="21"/>
                <w:szCs w:val="21"/>
              </w:rPr>
              <w:t>分，最多得</w:t>
            </w:r>
            <w:r>
              <w:rPr>
                <w:rFonts w:hint="eastAsia" w:ascii="仿宋_GB2312" w:hAnsi="仿宋_GB2312" w:eastAsia="仿宋_GB2312" w:cs="仿宋_GB2312"/>
                <w:bCs/>
                <w:color w:val="000000"/>
                <w:sz w:val="21"/>
                <w:szCs w:val="21"/>
                <w:lang w:val="en-US" w:eastAsia="zh-CN"/>
              </w:rPr>
              <w:t>20</w:t>
            </w:r>
            <w:r>
              <w:rPr>
                <w:rFonts w:hint="eastAsia" w:ascii="仿宋_GB2312" w:hAnsi="仿宋_GB2312" w:eastAsia="仿宋_GB2312" w:cs="仿宋_GB2312"/>
                <w:bCs/>
                <w:color w:val="000000"/>
                <w:sz w:val="21"/>
                <w:szCs w:val="21"/>
              </w:rPr>
              <w:t>分。</w:t>
            </w:r>
          </w:p>
          <w:p w14:paraId="328FCED4">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left"/>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注：提供人员证书复印件</w:t>
            </w:r>
            <w:r>
              <w:rPr>
                <w:rFonts w:hint="eastAsia" w:ascii="仿宋_GB2312" w:hAnsi="仿宋_GB2312" w:eastAsia="仿宋_GB2312" w:cs="仿宋_GB2312"/>
                <w:bCs/>
                <w:color w:val="000000"/>
                <w:sz w:val="21"/>
                <w:szCs w:val="21"/>
                <w:lang w:val="en-US" w:eastAsia="zh-CN"/>
              </w:rPr>
              <w:t>及社保缴纳证明（连续3个月）</w:t>
            </w:r>
            <w:r>
              <w:rPr>
                <w:rFonts w:hint="eastAsia" w:ascii="仿宋_GB2312" w:hAnsi="仿宋_GB2312" w:eastAsia="仿宋_GB2312" w:cs="仿宋_GB2312"/>
                <w:bCs/>
                <w:color w:val="000000"/>
                <w:sz w:val="21"/>
                <w:szCs w:val="21"/>
              </w:rPr>
              <w:t>加盖</w:t>
            </w:r>
            <w:r>
              <w:rPr>
                <w:rFonts w:hint="eastAsia" w:ascii="仿宋_GB2312" w:hAnsi="仿宋_GB2312" w:eastAsia="仿宋_GB2312" w:cs="仿宋_GB2312"/>
                <w:bCs/>
                <w:color w:val="000000"/>
                <w:sz w:val="21"/>
                <w:szCs w:val="21"/>
                <w:lang w:val="en-US" w:eastAsia="zh-CN"/>
              </w:rPr>
              <w:t>供应商</w:t>
            </w:r>
            <w:r>
              <w:rPr>
                <w:rFonts w:hint="eastAsia" w:ascii="仿宋_GB2312" w:hAnsi="仿宋_GB2312" w:eastAsia="仿宋_GB2312" w:cs="仿宋_GB2312"/>
                <w:bCs/>
                <w:color w:val="000000"/>
                <w:sz w:val="21"/>
                <w:szCs w:val="21"/>
              </w:rPr>
              <w:t>鲜章，不提供不得分。</w:t>
            </w:r>
          </w:p>
        </w:tc>
      </w:tr>
      <w:tr w14:paraId="3592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06" w:type="dxa"/>
            <w:vAlign w:val="center"/>
          </w:tcPr>
          <w:p w14:paraId="05E7F496">
            <w:pPr>
              <w:keepNext w:val="0"/>
              <w:keepLines w:val="0"/>
              <w:pageBreakBefore w:val="0"/>
              <w:widowControl w:val="0"/>
              <w:kinsoku/>
              <w:wordWrap/>
              <w:overflowPunct/>
              <w:topLinePunct w:val="0"/>
              <w:bidi w:val="0"/>
              <w:adjustRightInd/>
              <w:snapToGrid/>
              <w:spacing w:line="400" w:lineRule="exact"/>
              <w:ind w:left="0"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1446" w:type="dxa"/>
            <w:vAlign w:val="center"/>
          </w:tcPr>
          <w:p w14:paraId="050E8D28">
            <w:pPr>
              <w:keepNext w:val="0"/>
              <w:keepLines w:val="0"/>
              <w:pageBreakBefore w:val="0"/>
              <w:widowControl w:val="0"/>
              <w:kinsoku/>
              <w:wordWrap/>
              <w:overflowPunct/>
              <w:topLinePunct w:val="0"/>
              <w:bidi w:val="0"/>
              <w:adjustRightInd/>
              <w:snapToGrid/>
              <w:spacing w:line="400" w:lineRule="exact"/>
              <w:ind w:left="0" w:firstLine="0" w:firstLineChars="0"/>
              <w:jc w:val="center"/>
              <w:textAlignment w:val="baseline"/>
              <w:rPr>
                <w:rStyle w:val="5"/>
                <w:rFonts w:hint="eastAsia" w:ascii="仿宋_GB2312" w:hAnsi="仿宋_GB2312" w:eastAsia="仿宋_GB2312" w:cs="仿宋_GB2312"/>
                <w:color w:val="000000"/>
                <w:sz w:val="21"/>
                <w:szCs w:val="21"/>
              </w:rPr>
            </w:pPr>
            <w:r>
              <w:rPr>
                <w:rStyle w:val="5"/>
                <w:rFonts w:hint="eastAsia" w:ascii="仿宋_GB2312" w:hAnsi="仿宋_GB2312" w:eastAsia="仿宋_GB2312" w:cs="仿宋_GB2312"/>
                <w:color w:val="000000"/>
                <w:sz w:val="21"/>
                <w:szCs w:val="21"/>
                <w:lang w:val="en-US" w:eastAsia="zh-CN"/>
              </w:rPr>
              <w:t>服务方案35</w:t>
            </w:r>
            <w:r>
              <w:rPr>
                <w:rStyle w:val="5"/>
                <w:rFonts w:hint="eastAsia" w:ascii="仿宋_GB2312" w:hAnsi="仿宋_GB2312" w:eastAsia="仿宋_GB2312" w:cs="仿宋_GB2312"/>
                <w:color w:val="000000"/>
                <w:sz w:val="21"/>
                <w:szCs w:val="21"/>
              </w:rPr>
              <w:t>%</w:t>
            </w:r>
          </w:p>
        </w:tc>
        <w:tc>
          <w:tcPr>
            <w:tcW w:w="759" w:type="dxa"/>
            <w:vAlign w:val="center"/>
          </w:tcPr>
          <w:p w14:paraId="107604A4">
            <w:pPr>
              <w:keepNext w:val="0"/>
              <w:keepLines w:val="0"/>
              <w:pageBreakBefore w:val="0"/>
              <w:widowControl w:val="0"/>
              <w:kinsoku/>
              <w:wordWrap/>
              <w:overflowPunct/>
              <w:topLinePunct w:val="0"/>
              <w:autoSpaceDE w:val="0"/>
              <w:autoSpaceDN w:val="0"/>
              <w:bidi w:val="0"/>
              <w:adjustRightInd/>
              <w:snapToGrid/>
              <w:spacing w:line="400" w:lineRule="exact"/>
              <w:ind w:left="0" w:firstLine="0" w:firstLineChars="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bCs/>
                <w:color w:val="000000"/>
                <w:sz w:val="21"/>
                <w:szCs w:val="21"/>
                <w:lang w:val="en-US" w:eastAsia="zh-CN"/>
              </w:rPr>
              <w:t>35</w:t>
            </w:r>
            <w:r>
              <w:rPr>
                <w:rFonts w:hint="eastAsia" w:ascii="仿宋_GB2312" w:hAnsi="仿宋_GB2312" w:eastAsia="仿宋_GB2312" w:cs="仿宋_GB2312"/>
                <w:bCs/>
                <w:color w:val="000000"/>
                <w:sz w:val="21"/>
                <w:szCs w:val="21"/>
              </w:rPr>
              <w:t>分</w:t>
            </w:r>
          </w:p>
        </w:tc>
        <w:tc>
          <w:tcPr>
            <w:tcW w:w="6633" w:type="dxa"/>
            <w:vAlign w:val="center"/>
          </w:tcPr>
          <w:p w14:paraId="5D2E03A5">
            <w:pPr>
              <w:pStyle w:val="2"/>
              <w:keepNext w:val="0"/>
              <w:keepLines w:val="0"/>
              <w:pageBreakBefore w:val="0"/>
              <w:widowControl w:val="0"/>
              <w:kinsoku/>
              <w:wordWrap/>
              <w:overflowPunct/>
              <w:topLinePunct w:val="0"/>
              <w:bidi w:val="0"/>
              <w:adjustRightInd/>
              <w:snapToGrid/>
              <w:spacing w:after="0" w:line="400" w:lineRule="exact"/>
              <w:ind w:left="0" w:firstLine="0" w:firstLineChars="0"/>
              <w:rPr>
                <w:rFonts w:hint="eastAsia" w:ascii="仿宋_GB2312" w:hAnsi="仿宋_GB2312" w:eastAsia="仿宋_GB2312" w:cs="仿宋_GB2312"/>
                <w:sz w:val="21"/>
                <w:szCs w:val="21"/>
                <w:lang w:val="en-US"/>
              </w:rPr>
            </w:pPr>
            <w:r>
              <w:rPr>
                <w:rFonts w:hint="eastAsia" w:ascii="仿宋_GB2312" w:hAnsi="仿宋_GB2312" w:eastAsia="仿宋_GB2312" w:cs="仿宋_GB2312"/>
                <w:bCs/>
                <w:color w:val="000000"/>
                <w:kern w:val="2"/>
                <w:sz w:val="21"/>
                <w:szCs w:val="21"/>
                <w:lang w:val="en-US" w:eastAsia="zh-CN" w:bidi="ar-SA"/>
              </w:rPr>
              <w:t>对项目要求分析准确，具体方案全面、详细合理实施流程科学、可行，完全满足用户需求，得35分；对项目要求分析较准确，具体方案较全面、较合理，实施流程较可行，满足用户需求，得25分；对项目要求分析基本准确，具体方案基本全面、合理，实施流程基本可行，基本满足用户需求，得15分；对项目要求分析一般，具体方案不够全面、合理实施流程有一定可行性，基本满足用户需求，得5分；对项目要求分析不准确，具体方案不合理，实施流程可行性低，无法满足用户需求或未提供方案的，得0分。</w:t>
            </w:r>
          </w:p>
        </w:tc>
      </w:tr>
    </w:tbl>
    <w:p w14:paraId="1593C2C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9574E"/>
    <w:rsid w:val="02946B13"/>
    <w:rsid w:val="6EFFC267"/>
    <w:rsid w:val="79516344"/>
    <w:rsid w:val="FFF9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595</Words>
  <Characters>621</Characters>
  <Lines>0</Lines>
  <Paragraphs>0</Paragraphs>
  <TotalTime>3</TotalTime>
  <ScaleCrop>false</ScaleCrop>
  <LinksUpToDate>false</LinksUpToDate>
  <CharactersWithSpaces>629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2025-04-27T11:42:00Z</dcterms:created>
  <dc:creator>养鹿人</dc:creator>
  <cp:lastModifiedBy>WJYang-Bang</cp:lastModifiedBy>
  <dcterms:modified xsi:type="dcterms:W3CDTF">2025-05-07T15:36:24Z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0108E646F6D74A9BA13FF376ECF93346_13</vt:lpwstr>
  </property>
  <property fmtid="{D5CDD505-2E9C-101B-9397-08002B2CF9AE}" pid="4" name="KSOTemplateDocerSaveRecord">
    <vt:lpwstr>eyJoZGlkIjoiMzc5ZDFjMzdjZDU4ZjM2ZDI0NmYwODNmY2QyYzliZTkiLCJ1c2VySWQiOiIyNTMyNzU4NDgifQ==</vt:lpwstr>
  </property>
</Properties>
</file>