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line="240" w:lineRule="auto"/>
        <w:ind w:firstLine="0" w:firstLineChars="0"/>
        <w:jc w:val="center"/>
        <w:rPr>
          <w:rFonts w:hint="eastAsia" w:asciiTheme="minorEastAsia" w:hAnsiTheme="minorEastAsia" w:eastAsiaTheme="minorEastAsia" w:cstheme="minorEastAsia"/>
          <w:b/>
          <w:bCs/>
          <w:kern w:val="0"/>
          <w:sz w:val="36"/>
          <w:szCs w:val="36"/>
          <w:u w:val="single"/>
        </w:rPr>
      </w:pPr>
      <w:r>
        <w:rPr>
          <w:rFonts w:hint="eastAsia" w:asciiTheme="minorEastAsia" w:hAnsiTheme="minorEastAsia" w:eastAsiaTheme="minorEastAsia" w:cstheme="minorEastAsia"/>
          <w:b/>
          <w:bCs/>
          <w:kern w:val="0"/>
          <w:sz w:val="36"/>
          <w:szCs w:val="36"/>
          <w:u w:val="single"/>
        </w:rPr>
        <w:t>评 分 表</w:t>
      </w:r>
    </w:p>
    <w:p>
      <w:pPr>
        <w:pStyle w:val="2"/>
        <w:rPr>
          <w:rFonts w:hint="eastAsia"/>
        </w:rPr>
      </w:pPr>
    </w:p>
    <w:tbl>
      <w:tblPr>
        <w:tblStyle w:val="5"/>
        <w:tblW w:w="9037"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028"/>
        <w:gridCol w:w="6689"/>
        <w:gridCol w:w="888"/>
        <w:gridCol w:w="43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39" w:hRule="atLeast"/>
          <w:jc w:val="center"/>
        </w:trPr>
        <w:tc>
          <w:tcPr>
            <w:tcW w:w="8605" w:type="dxa"/>
            <w:gridSpan w:val="3"/>
            <w:shd w:val="clear" w:color="000000" w:fill="FFFFFF"/>
            <w:vAlign w:val="center"/>
          </w:tcPr>
          <w:p>
            <w:pPr>
              <w:widowControl/>
              <w:spacing w:before="100" w:beforeAutospacing="1" w:after="100" w:afterAutospacing="1" w:line="240" w:lineRule="auto"/>
              <w:ind w:firstLine="0" w:firstLineChars="0"/>
              <w:rPr>
                <w:rFonts w:hint="eastAsia" w:ascii="宋体" w:hAnsi="宋体" w:eastAsia="宋体" w:cs="宋体"/>
              </w:rPr>
            </w:pPr>
            <w:r>
              <w:rPr>
                <w:rFonts w:hint="eastAsia" w:ascii="宋体" w:hAnsi="宋体" w:eastAsia="宋体" w:cs="宋体"/>
              </w:rPr>
              <mc:AlternateContent>
                <mc:Choice Requires="wps">
                  <w:drawing>
                    <wp:anchor distT="0" distB="0" distL="114300" distR="114300" simplePos="0" relativeHeight="251659264" behindDoc="0" locked="0" layoutInCell="1" allowOverlap="1">
                      <wp:simplePos x="0" y="0"/>
                      <wp:positionH relativeFrom="column">
                        <wp:posOffset>-65405</wp:posOffset>
                      </wp:positionH>
                      <wp:positionV relativeFrom="paragraph">
                        <wp:posOffset>21590</wp:posOffset>
                      </wp:positionV>
                      <wp:extent cx="5467350" cy="566420"/>
                      <wp:effectExtent l="635" t="4445" r="18415" b="19685"/>
                      <wp:wrapNone/>
                      <wp:docPr id="1" name="直接连接符 1"/>
                      <wp:cNvGraphicFramePr/>
                      <a:graphic xmlns:a="http://schemas.openxmlformats.org/drawingml/2006/main">
                        <a:graphicData uri="http://schemas.microsoft.com/office/word/2010/wordprocessingShape">
                          <wps:wsp>
                            <wps:cNvCnPr/>
                            <wps:spPr>
                              <a:xfrm>
                                <a:off x="0" y="0"/>
                                <a:ext cx="5467350" cy="566420"/>
                              </a:xfrm>
                              <a:prstGeom prst="line">
                                <a:avLst/>
                              </a:prstGeom>
                              <a:ln w="31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15pt;margin-top:1.7pt;height:44.6pt;width:430.5pt;z-index:251659264;mso-width-relative:page;mso-height-relative:page;" filled="f" stroked="t" coordsize="21600,21600" o:gfxdata="UEsDBAoAAAAAAIdO4kAAAAAAAAAAAAAAAAAEAAAAZHJzL1BLAwQUAAAACACHTuJApRy8ZNkAAAAI&#10;AQAADwAAAGRycy9kb3ducmV2LnhtbE2PwU7DMBBE70j8g7VI3Fo7LYQSsqmUCA49gESLBNzceEki&#10;4nWInbb8PeYEx9GMZt7k65PtxYFG3zlGSOYKBHHtTMcNwsvuYbYC4YNmo3vHhPBNHtbF+VmuM+OO&#10;/EyHbWhELGGfaYQ2hCGT0tctWe3nbiCO3ocbrQ5Rjo00oz7GctvLhVKptLrjuNDqgaqW6s/tZBGC&#10;f317CtPmq0zLx4p25Xt1LzeIlxeJugMR6BT+wvCLH9GhiEx7N7HxokeYJWoZowjLKxDRX12rGxB7&#10;hNtFCrLI5f8DxQ9QSwMEFAAAAAgAh07iQB13ADoAAgAA9wMAAA4AAABkcnMvZTJvRG9jLnhtbK1T&#10;zY7TMBC+I/EOlu80bXfbRVHTPWxZLggqAQ8wdZzEkv/kcZv2JXgBJG5w4sidt2F5DMZOt7sslx7I&#10;wRl7Zr6Z7/N4cb03mu1kQOVsxSejMWfSClcr21b844fbFy85wwi2Bu2srPhBIr9ePn+26H0pp65z&#10;upaBEYjFsvcV72L0ZVGg6KQBHDkvLTkbFwxE2oa2qAP0hG50MR2P50XvQu2DExKRTleDkx8RwzmA&#10;rmmUkCsntkbaOKAGqSESJeyUR77M3TaNFPFd06CMTFecmMa8UhGyN2ktlgso2wC+U+LYApzTwhNO&#10;BpSloieoFURg26D+gTJKBIeuiSPhTDEQyYoQi8n4iTbvO/AycyGp0Z9Ex/8HK97u1oGpmiaBMwuG&#10;Lvzu849fn77+/vmF1rvv39gkidR7LCn2xq7DcYd+HRLjfRNM+hMXts/CHk7Cyn1kgg5nl/Orixlp&#10;Lsg3m88vp1n54iHbB4yvpTMsGRXXyibiUMLuDUaqSKH3IelYW9ZX/GJyNSNMoCls6PbJNJ6YoG1z&#10;Ljqt6luldcrA0G5udGA7SJOQv8SLcP8KS0VWgN0Ql13DjHQS6le2ZvHgSSNLT4OnFoysOdOSXlKy&#10;CBDKCEqfE0mltU0JMs/pkWcSepA2WRtXH+h+tj6otiNd8l0UyUPzkLs/zm4auMd7sh+/1+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pRy8ZNkAAAAIAQAADwAAAAAAAAABACAAAAAiAAAAZHJzL2Rv&#10;d25yZXYueG1sUEsBAhQAFAAAAAgAh07iQB13ADoAAgAA9wMAAA4AAAAAAAAAAQAgAAAAKAEAAGRy&#10;cy9lMm9Eb2MueG1sUEsFBgAAAAAGAAYAWQEAAJoFAAAAAA==&#10;">
                      <v:fill on="f" focussize="0,0"/>
                      <v:stroke weight="0.25pt" color="#000000" joinstyle="round"/>
                      <v:imagedata o:title=""/>
                      <o:lock v:ext="edit" aspectratio="f"/>
                    </v:line>
                  </w:pict>
                </mc:Fallback>
              </mc:AlternateContent>
            </w:r>
            <w:r>
              <w:rPr>
                <w:rFonts w:hint="eastAsia" w:ascii="宋体" w:hAnsi="宋体" w:eastAsia="宋体" w:cs="宋体"/>
              </w:rPr>
              <w:t xml:space="preserve">                                            供应商名称</w:t>
            </w:r>
          </w:p>
          <w:p>
            <w:pPr>
              <w:widowControl/>
              <w:spacing w:before="100" w:beforeAutospacing="1" w:after="100" w:afterAutospacing="1" w:line="240" w:lineRule="auto"/>
              <w:ind w:firstLine="360" w:firstLineChars="150"/>
              <w:rPr>
                <w:rFonts w:hint="eastAsia" w:ascii="宋体" w:hAnsi="宋体" w:eastAsia="宋体" w:cs="宋体"/>
              </w:rPr>
            </w:pPr>
            <w:r>
              <w:rPr>
                <w:rFonts w:hint="eastAsia" w:ascii="宋体" w:hAnsi="宋体" w:eastAsia="宋体" w:cs="宋体"/>
              </w:rPr>
              <w:t>评分项及评分标准</w:t>
            </w:r>
          </w:p>
        </w:tc>
        <w:tc>
          <w:tcPr>
            <w:tcW w:w="432" w:type="dxa"/>
            <w:shd w:val="clear" w:color="000000" w:fill="FFFFFF"/>
            <w:vAlign w:val="center"/>
          </w:tcPr>
          <w:p>
            <w:pPr>
              <w:widowControl/>
              <w:spacing w:before="100" w:beforeAutospacing="1" w:after="100" w:afterAutospacing="1" w:line="240" w:lineRule="auto"/>
              <w:ind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得分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0" w:hRule="atLeast"/>
          <w:jc w:val="center"/>
        </w:trPr>
        <w:tc>
          <w:tcPr>
            <w:tcW w:w="1028" w:type="dxa"/>
            <w:shd w:val="clear" w:color="000000" w:fill="FFFFFF"/>
            <w:vAlign w:val="center"/>
          </w:tcPr>
          <w:p>
            <w:pPr>
              <w:widowControl/>
              <w:spacing w:line="240" w:lineRule="auto"/>
              <w:ind w:firstLine="0" w:firstLineChars="0"/>
              <w:jc w:val="both"/>
              <w:rPr>
                <w:rFonts w:hint="eastAsia" w:ascii="宋体" w:hAnsi="宋体" w:eastAsia="宋体" w:cs="宋体"/>
              </w:rPr>
            </w:pPr>
            <w:r>
              <w:rPr>
                <w:rFonts w:hint="eastAsia" w:ascii="宋体" w:hAnsi="宋体" w:eastAsia="宋体" w:cs="宋体"/>
              </w:rPr>
              <w:t xml:space="preserve">价格分 </w:t>
            </w:r>
            <w:r>
              <w:rPr>
                <w:rFonts w:hint="eastAsia" w:ascii="宋体" w:hAnsi="宋体" w:eastAsia="宋体" w:cs="宋体"/>
              </w:rPr>
              <w:br w:type="textWrapping"/>
            </w:r>
            <w:r>
              <w:rPr>
                <w:rFonts w:hint="eastAsia" w:ascii="宋体" w:hAnsi="宋体" w:eastAsia="宋体" w:cs="宋体"/>
              </w:rPr>
              <w:t>(</w:t>
            </w:r>
            <w:r>
              <w:rPr>
                <w:rFonts w:hint="eastAsia" w:ascii="宋体" w:hAnsi="宋体" w:eastAsia="宋体" w:cs="宋体"/>
                <w:lang w:val="en-US" w:eastAsia="zh-CN"/>
              </w:rPr>
              <w:t>10</w:t>
            </w:r>
            <w:r>
              <w:rPr>
                <w:rFonts w:hint="eastAsia" w:ascii="宋体" w:hAnsi="宋体" w:eastAsia="宋体" w:cs="宋体"/>
              </w:rPr>
              <w:t>分)</w:t>
            </w:r>
          </w:p>
        </w:tc>
        <w:tc>
          <w:tcPr>
            <w:tcW w:w="6689" w:type="dxa"/>
            <w:shd w:val="clear" w:color="000000" w:fill="FFFFFF"/>
            <w:vAlign w:val="center"/>
          </w:tcPr>
          <w:p>
            <w:pPr>
              <w:widowControl/>
              <w:spacing w:line="240" w:lineRule="auto"/>
              <w:ind w:firstLine="0" w:firstLineChars="0"/>
              <w:jc w:val="both"/>
              <w:rPr>
                <w:rFonts w:hint="eastAsia" w:ascii="宋体" w:hAnsi="宋体" w:eastAsia="宋体" w:cs="宋体"/>
              </w:rPr>
            </w:pPr>
            <w:r>
              <w:rPr>
                <w:rFonts w:hint="eastAsia" w:ascii="宋体" w:hAnsi="宋体" w:eastAsia="宋体" w:cs="宋体"/>
              </w:rPr>
              <w:t>投标报价得分＝（评标基准价／有效投标报价）×价格权值（</w:t>
            </w:r>
            <w:r>
              <w:rPr>
                <w:rFonts w:hint="eastAsia" w:ascii="宋体" w:hAnsi="宋体" w:eastAsia="宋体" w:cs="宋体"/>
                <w:lang w:val="en-US" w:eastAsia="zh-CN"/>
              </w:rPr>
              <w:t>10</w:t>
            </w:r>
            <w:r>
              <w:rPr>
                <w:rFonts w:hint="eastAsia" w:ascii="宋体" w:hAnsi="宋体" w:eastAsia="宋体" w:cs="宋体"/>
              </w:rPr>
              <w:t>%）×100</w:t>
            </w:r>
          </w:p>
        </w:tc>
        <w:tc>
          <w:tcPr>
            <w:tcW w:w="888" w:type="dxa"/>
            <w:shd w:val="clear" w:color="000000" w:fill="FFFFFF"/>
            <w:vAlign w:val="center"/>
          </w:tcPr>
          <w:p>
            <w:pPr>
              <w:widowControl/>
              <w:spacing w:line="240" w:lineRule="auto"/>
              <w:ind w:firstLine="0" w:firstLineChars="0"/>
              <w:jc w:val="center"/>
              <w:rPr>
                <w:rFonts w:hint="eastAsia" w:ascii="宋体" w:hAnsi="宋体" w:eastAsia="宋体" w:cs="宋体"/>
              </w:rPr>
            </w:pPr>
            <w:r>
              <w:rPr>
                <w:rFonts w:hint="eastAsia" w:ascii="宋体" w:hAnsi="宋体" w:eastAsia="宋体" w:cs="宋体"/>
              </w:rPr>
              <w:t>0-</w:t>
            </w:r>
            <w:r>
              <w:rPr>
                <w:rFonts w:hint="eastAsia" w:ascii="宋体" w:hAnsi="宋体" w:eastAsia="宋体" w:cs="宋体"/>
                <w:lang w:val="en-US" w:eastAsia="zh-CN"/>
              </w:rPr>
              <w:t>10</w:t>
            </w:r>
            <w:r>
              <w:rPr>
                <w:rFonts w:hint="eastAsia" w:ascii="宋体" w:hAnsi="宋体" w:eastAsia="宋体" w:cs="宋体"/>
              </w:rPr>
              <w:t>分</w:t>
            </w:r>
          </w:p>
        </w:tc>
        <w:tc>
          <w:tcPr>
            <w:tcW w:w="432" w:type="dxa"/>
            <w:shd w:val="clear" w:color="000000" w:fill="FFFFFF"/>
          </w:tcPr>
          <w:p>
            <w:pPr>
              <w:widowControl/>
              <w:spacing w:before="100" w:beforeAutospacing="1" w:after="100" w:afterAutospacing="1" w:line="240" w:lineRule="auto"/>
              <w:ind w:firstLine="0" w:firstLineChars="0"/>
              <w:jc w:val="center"/>
              <w:rPr>
                <w:rFonts w:hint="eastAsia" w:ascii="宋体" w:hAnsi="宋体" w:eastAsia="宋体" w:cs="宋体"/>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74" w:hRule="atLeast"/>
          <w:jc w:val="center"/>
        </w:trPr>
        <w:tc>
          <w:tcPr>
            <w:tcW w:w="1028" w:type="dxa"/>
            <w:shd w:val="clear" w:color="000000" w:fill="FFFFFF"/>
            <w:vAlign w:val="center"/>
          </w:tcPr>
          <w:p>
            <w:pPr>
              <w:widowControl/>
              <w:spacing w:line="240" w:lineRule="auto"/>
              <w:ind w:firstLine="0" w:firstLineChars="0"/>
              <w:jc w:val="center"/>
              <w:rPr>
                <w:rFonts w:hint="eastAsia" w:ascii="宋体" w:hAnsi="宋体" w:eastAsia="宋体" w:cs="宋体"/>
              </w:rPr>
            </w:pPr>
            <w:r>
              <w:rPr>
                <w:rFonts w:hint="eastAsia" w:ascii="宋体" w:hAnsi="宋体" w:eastAsia="宋体" w:cs="宋体"/>
              </w:rPr>
              <w:t>技术分</w:t>
            </w:r>
            <w:r>
              <w:rPr>
                <w:rFonts w:hint="eastAsia" w:ascii="宋体" w:hAnsi="宋体" w:eastAsia="宋体" w:cs="宋体"/>
              </w:rPr>
              <w:br w:type="textWrapping"/>
            </w:r>
            <w:r>
              <w:rPr>
                <w:rFonts w:hint="eastAsia" w:ascii="宋体" w:hAnsi="宋体" w:eastAsia="宋体" w:cs="宋体"/>
              </w:rPr>
              <w:t>(</w:t>
            </w:r>
            <w:r>
              <w:rPr>
                <w:rFonts w:hint="eastAsia" w:ascii="宋体" w:hAnsi="宋体" w:eastAsia="宋体" w:cs="宋体"/>
                <w:lang w:val="en-US" w:eastAsia="zh-CN"/>
              </w:rPr>
              <w:t>15</w:t>
            </w:r>
            <w:r>
              <w:rPr>
                <w:rFonts w:hint="eastAsia" w:ascii="宋体" w:hAnsi="宋体" w:eastAsia="宋体" w:cs="宋体"/>
              </w:rPr>
              <w:t>分)</w:t>
            </w:r>
          </w:p>
        </w:tc>
        <w:tc>
          <w:tcPr>
            <w:tcW w:w="6689" w:type="dxa"/>
            <w:shd w:val="clear" w:color="000000" w:fill="FFFFFF"/>
            <w:vAlign w:val="center"/>
          </w:tcPr>
          <w:p>
            <w:pPr>
              <w:widowControl/>
              <w:spacing w:line="240" w:lineRule="auto"/>
              <w:ind w:firstLine="0" w:firstLineChars="0"/>
              <w:jc w:val="both"/>
              <w:rPr>
                <w:rFonts w:hint="eastAsia" w:ascii="宋体" w:hAnsi="宋体" w:eastAsia="宋体" w:cs="宋体"/>
                <w:lang w:val="en-US" w:eastAsia="zh-CN"/>
              </w:rPr>
            </w:pPr>
            <w:r>
              <w:rPr>
                <w:rFonts w:hint="eastAsia" w:ascii="宋体" w:hAnsi="宋体" w:eastAsia="宋体" w:cs="宋体"/>
                <w:lang w:val="en-US" w:eastAsia="zh-CN"/>
              </w:rPr>
              <w:t>根据供应商提供的服务方案的详细程度、逻辑性等进行评审：根据本项目的服务内容和要求，对项目管理实施方案响应情况，包括但不限于对服务内容及目标、服务实施计划及流程、项目管理办法及服务承诺、项目预期成果明确程度等的全面、科学、合理性进行综合评审。</w:t>
            </w:r>
          </w:p>
          <w:p>
            <w:pPr>
              <w:widowControl/>
              <w:spacing w:line="240" w:lineRule="auto"/>
              <w:ind w:firstLine="0" w:firstLineChars="0"/>
              <w:jc w:val="both"/>
              <w:rPr>
                <w:rFonts w:hint="eastAsia" w:ascii="宋体" w:hAnsi="宋体" w:eastAsia="宋体" w:cs="宋体"/>
                <w:lang w:val="en-US" w:eastAsia="zh-CN"/>
              </w:rPr>
            </w:pPr>
            <w:r>
              <w:rPr>
                <w:rFonts w:hint="eastAsia" w:ascii="宋体" w:hAnsi="宋体" w:eastAsia="宋体" w:cs="宋体"/>
                <w:lang w:val="en-US" w:eastAsia="zh-CN"/>
              </w:rPr>
              <w:t>1.服务方案制定详细完整、服务目标明确，逻辑性强，提出科学合理可行的项目服务实施计划及流程，项目管理办法及服务承诺，项目预期成果明确的得15-10分；</w:t>
            </w:r>
          </w:p>
          <w:p>
            <w:pPr>
              <w:widowControl/>
              <w:spacing w:line="240" w:lineRule="auto"/>
              <w:ind w:firstLine="0" w:firstLineChars="0"/>
              <w:jc w:val="both"/>
              <w:rPr>
                <w:rFonts w:hint="eastAsia" w:ascii="宋体" w:hAnsi="宋体" w:eastAsia="宋体" w:cs="宋体"/>
                <w:lang w:val="en-US" w:eastAsia="zh-CN"/>
              </w:rPr>
            </w:pPr>
            <w:r>
              <w:rPr>
                <w:rFonts w:hint="eastAsia" w:ascii="宋体" w:hAnsi="宋体" w:eastAsia="宋体" w:cs="宋体"/>
                <w:lang w:val="en-US" w:eastAsia="zh-CN"/>
              </w:rPr>
              <w:t>2.服务方案制定较完整、服务目标明确，逻辑性一般，项目服务实施计划及流程一般，项目预期成果没有明的得9-5分；                3.服务方案制定较完整、服务目标明确，逻辑性较差，项目服务实施计划及流程较差，项目预期成果较差的得4-1分；</w:t>
            </w:r>
          </w:p>
          <w:p>
            <w:pPr>
              <w:widowControl/>
              <w:spacing w:line="240" w:lineRule="auto"/>
              <w:ind w:firstLine="0" w:firstLineChars="0"/>
              <w:jc w:val="both"/>
              <w:rPr>
                <w:rFonts w:hint="eastAsia" w:ascii="宋体" w:hAnsi="宋体" w:eastAsia="宋体" w:cs="宋体"/>
                <w:lang w:val="en-US" w:eastAsia="zh-CN"/>
              </w:rPr>
            </w:pPr>
            <w:r>
              <w:rPr>
                <w:rFonts w:hint="eastAsia" w:ascii="宋体" w:hAnsi="宋体" w:eastAsia="宋体" w:cs="宋体"/>
                <w:lang w:val="en-US" w:eastAsia="zh-CN"/>
              </w:rPr>
              <w:t>4.未提供不得分。</w:t>
            </w:r>
          </w:p>
        </w:tc>
        <w:tc>
          <w:tcPr>
            <w:tcW w:w="888" w:type="dxa"/>
            <w:shd w:val="clear" w:color="000000" w:fill="FFFFFF"/>
            <w:vAlign w:val="center"/>
          </w:tcPr>
          <w:p>
            <w:pPr>
              <w:widowControl/>
              <w:spacing w:line="240" w:lineRule="auto"/>
              <w:ind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lang w:val="en-US" w:eastAsia="zh-CN"/>
              </w:rPr>
              <w:t>0-15</w:t>
            </w:r>
            <w:r>
              <w:rPr>
                <w:rFonts w:hint="eastAsia" w:ascii="宋体" w:hAnsi="宋体" w:eastAsia="宋体" w:cs="宋体"/>
              </w:rPr>
              <w:t>分</w:t>
            </w:r>
          </w:p>
        </w:tc>
        <w:tc>
          <w:tcPr>
            <w:tcW w:w="432" w:type="dxa"/>
            <w:shd w:val="clear" w:color="000000" w:fill="FFFFFF"/>
          </w:tcPr>
          <w:p>
            <w:pPr>
              <w:widowControl/>
              <w:spacing w:before="100" w:beforeAutospacing="1" w:after="100" w:afterAutospacing="1" w:line="240" w:lineRule="auto"/>
              <w:ind w:firstLine="0" w:firstLineChars="0"/>
              <w:jc w:val="both"/>
              <w:rPr>
                <w:rFonts w:hint="eastAsia" w:ascii="宋体" w:hAnsi="宋体" w:eastAsia="宋体" w:cs="宋体"/>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9" w:hRule="atLeast"/>
          <w:jc w:val="center"/>
        </w:trPr>
        <w:tc>
          <w:tcPr>
            <w:tcW w:w="1028" w:type="dxa"/>
            <w:vMerge w:val="restart"/>
            <w:shd w:val="clear" w:color="000000" w:fill="FFFFFF"/>
            <w:vAlign w:val="center"/>
          </w:tcPr>
          <w:p>
            <w:pPr>
              <w:widowControl/>
              <w:spacing w:line="240" w:lineRule="auto"/>
              <w:ind w:firstLine="0" w:firstLineChars="0"/>
              <w:jc w:val="center"/>
              <w:rPr>
                <w:rFonts w:hint="eastAsia" w:ascii="宋体" w:hAnsi="宋体" w:eastAsia="宋体" w:cs="宋体"/>
              </w:rPr>
            </w:pPr>
            <w:r>
              <w:rPr>
                <w:rFonts w:hint="eastAsia" w:ascii="宋体" w:hAnsi="宋体" w:eastAsia="宋体" w:cs="宋体"/>
              </w:rPr>
              <w:t>商务分</w:t>
            </w:r>
            <w:r>
              <w:rPr>
                <w:rFonts w:hint="eastAsia" w:ascii="宋体" w:hAnsi="宋体" w:eastAsia="宋体" w:cs="宋体"/>
              </w:rPr>
              <w:br w:type="textWrapping"/>
            </w:r>
            <w:r>
              <w:rPr>
                <w:rFonts w:hint="eastAsia" w:ascii="宋体" w:hAnsi="宋体" w:eastAsia="宋体" w:cs="宋体"/>
              </w:rPr>
              <w:t>(</w:t>
            </w:r>
            <w:r>
              <w:rPr>
                <w:rFonts w:hint="eastAsia" w:ascii="宋体" w:hAnsi="宋体" w:eastAsia="宋体" w:cs="宋体"/>
                <w:lang w:val="en-US" w:eastAsia="zh-CN"/>
              </w:rPr>
              <w:t>75</w:t>
            </w:r>
            <w:r>
              <w:rPr>
                <w:rFonts w:hint="eastAsia" w:ascii="宋体" w:hAnsi="宋体" w:eastAsia="宋体" w:cs="宋体"/>
              </w:rPr>
              <w:t>分)</w:t>
            </w:r>
          </w:p>
        </w:tc>
        <w:tc>
          <w:tcPr>
            <w:tcW w:w="6689" w:type="dxa"/>
            <w:shd w:val="clear" w:color="000000" w:fill="FFFFFF"/>
            <w:vAlign w:val="center"/>
          </w:tcPr>
          <w:p>
            <w:pPr>
              <w:widowControl/>
              <w:numPr>
                <w:ilvl w:val="0"/>
                <w:numId w:val="0"/>
              </w:numPr>
              <w:spacing w:line="240" w:lineRule="auto"/>
              <w:ind w:left="0" w:leftChars="0" w:firstLine="0" w:firstLineChars="0"/>
              <w:jc w:val="both"/>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拟投入人员：</w:t>
            </w:r>
          </w:p>
          <w:p>
            <w:pPr>
              <w:widowControl/>
              <w:numPr>
                <w:ilvl w:val="0"/>
                <w:numId w:val="0"/>
              </w:numPr>
              <w:spacing w:line="240" w:lineRule="auto"/>
              <w:ind w:left="0" w:leftChars="0" w:firstLine="0" w:firstLine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1.项目负责人（1人，本项满分10分）：</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firstLine="0" w:firstLine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①具备高级及以上职称或国家级注册造价师资格或国家级注册会计师资格的得5分。</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firstLine="0" w:firstLine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②具备5年及以上类似项目经验得5分，具备3-4年类似项目经验得3分，具备2年及以下类似项目经验得1分。</w:t>
            </w:r>
          </w:p>
          <w:p>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textAlignment w:val="baseline"/>
              <w:rPr>
                <w:rFonts w:hint="default"/>
                <w:lang w:val="en-US" w:eastAsia="zh-CN"/>
              </w:rPr>
            </w:pPr>
            <w:r>
              <w:rPr>
                <w:rFonts w:hint="eastAsia" w:ascii="宋体" w:hAnsi="宋体" w:eastAsia="宋体" w:cs="宋体"/>
                <w:kern w:val="2"/>
                <w:sz w:val="24"/>
                <w:szCs w:val="24"/>
                <w:lang w:val="en-US" w:eastAsia="zh-CN" w:bidi="ar-SA"/>
              </w:rPr>
              <w:t>注：项目经验年限证明以获得职称证或资格证的时间起算</w:t>
            </w:r>
            <w:r>
              <w:rPr>
                <w:rFonts w:hint="eastAsia"/>
                <w:lang w:val="en-US" w:eastAsia="zh-CN"/>
              </w:rPr>
              <w:t>。</w:t>
            </w:r>
            <w:r>
              <w:rPr>
                <w:rFonts w:hint="eastAsia" w:ascii="宋体" w:hAnsi="宋体" w:eastAsia="宋体" w:cs="宋体"/>
                <w:kern w:val="2"/>
                <w:sz w:val="24"/>
                <w:szCs w:val="24"/>
                <w:lang w:val="en-US" w:eastAsia="zh-CN" w:bidi="ar-SA"/>
              </w:rPr>
              <w:t>证明材料以项目负责人职称证或资格证及投标供应商2026年1月-至今任意三个月为其所缴纳社保凭证的复印件或扫描件加盖投标供应商公章为准。</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firstLine="0" w:firstLine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2.其他团队成员（不含项目负责人，本项满分25分）：</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firstLine="0" w:firstLine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①除项目负责人外，具备会计、经济、金融等相关专业高级及以上职称的，每提供一人得5分，满10分； 具备会计、经济、金融等相关专业</w:t>
            </w:r>
            <w:r>
              <w:rPr>
                <w:rFonts w:hint="eastAsia" w:ascii="宋体" w:hAnsi="宋体" w:eastAsia="宋体" w:cs="宋体"/>
                <w:kern w:val="2"/>
                <w:sz w:val="24"/>
                <w:szCs w:val="24"/>
                <w:highlight w:val="none"/>
                <w:lang w:val="en-US" w:eastAsia="zh-CN" w:bidi="ar-SA"/>
              </w:rPr>
              <w:t>中级职称</w:t>
            </w:r>
            <w:r>
              <w:rPr>
                <w:rFonts w:hint="eastAsia" w:ascii="宋体" w:hAnsi="宋体" w:eastAsia="宋体" w:cs="宋体"/>
                <w:kern w:val="2"/>
                <w:sz w:val="24"/>
                <w:szCs w:val="24"/>
                <w:lang w:val="en-US" w:eastAsia="zh-CN" w:bidi="ar-SA"/>
              </w:rPr>
              <w:t>的，每提供一人得2分，满分6分。</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firstLine="0" w:firstLine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②项目派驻人员不少于3人，得4分，不少于2人得分2分，2人以下不得分，本项满分4分。</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firstLine="0" w:firstLineChars="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注：以上人员不重复计分，证明材料以上述人员的职称证或资格证及投标供应商2026年6月-至今任意三个月为其所缴纳社保凭证的复印件或扫描件加盖投标供应商公章为准，未按要求提供证明材料的不得分。</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firstLine="0" w:firstLine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③配备外聘专家的，外聘专家为高级及以上职称，得5分，满分5分。</w:t>
            </w:r>
          </w:p>
          <w:p>
            <w:pPr>
              <w:pStyle w:val="4"/>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lang w:val="en-US" w:eastAsia="zh-CN"/>
              </w:rPr>
            </w:pPr>
            <w:r>
              <w:rPr>
                <w:rFonts w:hint="eastAsia" w:ascii="宋体" w:hAnsi="宋体" w:eastAsia="宋体" w:cs="宋体"/>
                <w:kern w:val="2"/>
                <w:sz w:val="24"/>
                <w:szCs w:val="24"/>
                <w:lang w:val="en-US" w:eastAsia="zh-CN" w:bidi="ar-SA"/>
              </w:rPr>
              <w:t>注：外聘专家不得超过60岁，证明材料聘书或劳动合同、职称证或资格证复印件或扫描件加盖投标供应商公章为准，未按要求提供证明材料不得分。</w:t>
            </w:r>
          </w:p>
        </w:tc>
        <w:tc>
          <w:tcPr>
            <w:tcW w:w="888" w:type="dxa"/>
            <w:shd w:val="clear" w:color="000000" w:fill="FFFFFF"/>
            <w:vAlign w:val="center"/>
          </w:tcPr>
          <w:p>
            <w:pPr>
              <w:widowControl/>
              <w:spacing w:line="240" w:lineRule="auto"/>
              <w:ind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0-35分</w:t>
            </w:r>
          </w:p>
        </w:tc>
        <w:tc>
          <w:tcPr>
            <w:tcW w:w="432" w:type="dxa"/>
            <w:shd w:val="clear" w:color="000000" w:fill="FFFFFF"/>
          </w:tcPr>
          <w:p>
            <w:pPr>
              <w:widowControl/>
              <w:spacing w:before="100" w:beforeAutospacing="1" w:after="100" w:afterAutospacing="1" w:line="240" w:lineRule="auto"/>
              <w:ind w:firstLine="0" w:firstLineChars="0"/>
              <w:jc w:val="both"/>
              <w:rPr>
                <w:rFonts w:hint="eastAsia" w:ascii="宋体" w:hAnsi="宋体" w:eastAsia="宋体" w:cs="宋体"/>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22" w:hRule="atLeast"/>
          <w:jc w:val="center"/>
        </w:trPr>
        <w:tc>
          <w:tcPr>
            <w:tcW w:w="1028" w:type="dxa"/>
            <w:vMerge w:val="continue"/>
            <w:shd w:val="clear" w:color="000000" w:fill="FFFFFF"/>
            <w:vAlign w:val="center"/>
          </w:tcPr>
          <w:p>
            <w:pPr>
              <w:widowControl/>
              <w:spacing w:line="240" w:lineRule="auto"/>
              <w:ind w:firstLine="0" w:firstLineChars="0"/>
              <w:jc w:val="center"/>
              <w:rPr>
                <w:rFonts w:hint="eastAsia" w:ascii="宋体" w:hAnsi="宋体" w:eastAsia="宋体" w:cs="宋体"/>
              </w:rPr>
            </w:pPr>
          </w:p>
        </w:tc>
        <w:tc>
          <w:tcPr>
            <w:tcW w:w="6689" w:type="dxa"/>
            <w:shd w:val="clear" w:color="000000" w:fill="FFFFFF"/>
            <w:vAlign w:val="center"/>
          </w:tcPr>
          <w:p>
            <w:pPr>
              <w:pStyle w:val="3"/>
              <w:spacing w:beforeLines="0" w:afterLines="0" w:line="240" w:lineRule="auto"/>
              <w:jc w:val="both"/>
              <w:rPr>
                <w:rFonts w:hint="eastAsia" w:ascii="宋体" w:hAnsi="宋体" w:eastAsia="宋体" w:cs="宋体"/>
                <w:b/>
                <w:bCs w:val="0"/>
                <w:sz w:val="24"/>
                <w:szCs w:val="24"/>
              </w:rPr>
            </w:pPr>
            <w:bookmarkStart w:id="0" w:name="_Toc14965"/>
            <w:r>
              <w:rPr>
                <w:rFonts w:hint="eastAsia" w:ascii="宋体" w:hAnsi="宋体" w:eastAsia="宋体" w:cs="宋体"/>
                <w:b/>
                <w:bCs w:val="0"/>
                <w:sz w:val="24"/>
                <w:szCs w:val="24"/>
                <w:lang w:eastAsia="zh-CN"/>
              </w:rPr>
              <w:t>企业</w:t>
            </w:r>
            <w:r>
              <w:rPr>
                <w:rFonts w:hint="eastAsia" w:ascii="宋体" w:hAnsi="宋体" w:eastAsia="宋体" w:cs="宋体"/>
                <w:b/>
                <w:bCs w:val="0"/>
                <w:sz w:val="24"/>
                <w:szCs w:val="24"/>
              </w:rPr>
              <w:t>业绩：</w:t>
            </w:r>
            <w:bookmarkEnd w:id="0"/>
          </w:p>
          <w:p>
            <w:pPr>
              <w:pStyle w:val="3"/>
              <w:spacing w:beforeLines="0" w:afterLines="0" w:line="240" w:lineRule="auto"/>
              <w:ind w:firstLine="0" w:firstLineChars="0"/>
              <w:jc w:val="both"/>
              <w:rPr>
                <w:rFonts w:hint="eastAsia" w:ascii="宋体" w:hAnsi="宋体" w:eastAsia="宋体" w:cs="宋体"/>
                <w:bCs/>
                <w:kern w:val="2"/>
                <w:sz w:val="24"/>
                <w:szCs w:val="24"/>
                <w:lang w:val="en-US" w:eastAsia="zh-CN" w:bidi="ar-SA"/>
              </w:rPr>
            </w:pPr>
            <w:bookmarkStart w:id="1" w:name="_Toc32130"/>
            <w:r>
              <w:rPr>
                <w:rFonts w:hint="eastAsia" w:ascii="宋体" w:hAnsi="宋体" w:eastAsia="宋体" w:cs="宋体"/>
                <w:sz w:val="24"/>
                <w:szCs w:val="24"/>
                <w:lang w:eastAsia="zh-CN"/>
              </w:rPr>
              <w:t>投标供应商每</w:t>
            </w:r>
            <w:r>
              <w:rPr>
                <w:rFonts w:hint="eastAsia" w:ascii="宋体" w:hAnsi="宋体" w:eastAsia="宋体" w:cs="宋体"/>
                <w:sz w:val="24"/>
                <w:szCs w:val="24"/>
              </w:rPr>
              <w:t>提供</w:t>
            </w:r>
            <w:r>
              <w:rPr>
                <w:rFonts w:hint="eastAsia" w:ascii="宋体" w:hAnsi="宋体" w:eastAsia="宋体" w:cs="宋体"/>
                <w:sz w:val="24"/>
                <w:szCs w:val="24"/>
                <w:lang w:val="en-US" w:eastAsia="zh-CN"/>
              </w:rPr>
              <w:t>1份2025年1月1日至今类似项目</w:t>
            </w:r>
            <w:r>
              <w:rPr>
                <w:rFonts w:hint="eastAsia" w:ascii="宋体" w:hAnsi="宋体" w:eastAsia="宋体" w:cs="宋体"/>
                <w:sz w:val="24"/>
                <w:szCs w:val="24"/>
              </w:rPr>
              <w:t>业绩得</w:t>
            </w:r>
            <w:r>
              <w:rPr>
                <w:rFonts w:hint="eastAsia" w:ascii="宋体" w:hAnsi="宋体" w:eastAsia="宋体" w:cs="宋体"/>
                <w:sz w:val="24"/>
                <w:szCs w:val="24"/>
                <w:lang w:val="en-US" w:eastAsia="zh-CN"/>
              </w:rPr>
              <w:t>3</w:t>
            </w:r>
            <w:r>
              <w:rPr>
                <w:rFonts w:hint="eastAsia" w:ascii="宋体" w:hAnsi="宋体" w:eastAsia="宋体" w:cs="宋体"/>
                <w:sz w:val="24"/>
                <w:szCs w:val="24"/>
              </w:rPr>
              <w:t>分，本项最高得</w:t>
            </w:r>
            <w:r>
              <w:rPr>
                <w:rFonts w:hint="eastAsia" w:ascii="宋体" w:hAnsi="宋体" w:eastAsia="宋体" w:cs="宋体"/>
                <w:sz w:val="24"/>
                <w:szCs w:val="24"/>
                <w:lang w:val="en-US" w:eastAsia="zh-CN"/>
              </w:rPr>
              <w:t>30</w:t>
            </w:r>
            <w:r>
              <w:rPr>
                <w:rFonts w:hint="eastAsia" w:ascii="宋体" w:hAnsi="宋体" w:eastAsia="宋体" w:cs="宋体"/>
                <w:sz w:val="24"/>
                <w:szCs w:val="24"/>
              </w:rPr>
              <w:t>分，</w:t>
            </w:r>
            <w:r>
              <w:rPr>
                <w:rFonts w:hint="eastAsia" w:ascii="宋体" w:hAnsi="宋体" w:eastAsia="宋体" w:cs="宋体"/>
                <w:sz w:val="24"/>
                <w:szCs w:val="24"/>
                <w:lang w:eastAsia="zh-CN"/>
              </w:rPr>
              <w:t>证明材料以合同</w:t>
            </w:r>
            <w:r>
              <w:rPr>
                <w:rFonts w:hint="eastAsia" w:ascii="宋体" w:hAnsi="宋体" w:eastAsia="宋体" w:cs="宋体"/>
                <w:sz w:val="24"/>
                <w:szCs w:val="24"/>
                <w:lang w:val="en-US" w:eastAsia="zh-CN"/>
              </w:rPr>
              <w:t>和</w:t>
            </w:r>
            <w:r>
              <w:rPr>
                <w:rFonts w:hint="eastAsia" w:ascii="宋体" w:hAnsi="宋体" w:eastAsia="宋体" w:cs="宋体"/>
                <w:sz w:val="24"/>
                <w:szCs w:val="24"/>
                <w:lang w:eastAsia="zh-CN"/>
              </w:rPr>
              <w:t>中标（成交）通知书（或中标公告截图）的</w:t>
            </w:r>
            <w:r>
              <w:rPr>
                <w:rFonts w:hint="eastAsia" w:ascii="宋体" w:hAnsi="宋体" w:eastAsia="宋体" w:cs="宋体"/>
                <w:b w:val="0"/>
                <w:bCs w:val="0"/>
                <w:sz w:val="24"/>
                <w:szCs w:val="28"/>
                <w:lang w:eastAsia="zh-CN"/>
              </w:rPr>
              <w:t>复印件或</w:t>
            </w:r>
            <w:r>
              <w:rPr>
                <w:rFonts w:hint="eastAsia" w:ascii="宋体" w:hAnsi="宋体" w:eastAsia="宋体" w:cs="宋体"/>
                <w:b w:val="0"/>
                <w:bCs w:val="0"/>
                <w:sz w:val="24"/>
                <w:szCs w:val="28"/>
              </w:rPr>
              <w:t>扫描件</w:t>
            </w:r>
            <w:r>
              <w:rPr>
                <w:rFonts w:hint="eastAsia" w:ascii="宋体" w:hAnsi="宋体" w:eastAsia="宋体" w:cs="宋体"/>
                <w:b w:val="0"/>
                <w:bCs w:val="0"/>
                <w:sz w:val="24"/>
                <w:szCs w:val="28"/>
                <w:lang w:val="en-US" w:eastAsia="zh-CN"/>
              </w:rPr>
              <w:t>加盖</w:t>
            </w:r>
            <w:r>
              <w:rPr>
                <w:rFonts w:hint="eastAsia" w:ascii="宋体" w:hAnsi="宋体" w:eastAsia="宋体" w:cs="宋体"/>
                <w:sz w:val="24"/>
                <w:szCs w:val="24"/>
                <w:lang w:eastAsia="zh-CN"/>
              </w:rPr>
              <w:t>投标</w:t>
            </w:r>
            <w:r>
              <w:rPr>
                <w:rFonts w:hint="eastAsia" w:ascii="宋体" w:hAnsi="宋体" w:eastAsia="宋体" w:cs="宋体"/>
                <w:b w:val="0"/>
                <w:bCs w:val="0"/>
                <w:sz w:val="24"/>
                <w:szCs w:val="28"/>
                <w:lang w:val="en-US" w:eastAsia="zh-CN"/>
              </w:rPr>
              <w:t>供应商公章为准，</w:t>
            </w:r>
            <w:r>
              <w:rPr>
                <w:rFonts w:hint="eastAsia" w:ascii="宋体" w:hAnsi="宋体" w:eastAsia="宋体" w:cs="宋体"/>
                <w:sz w:val="24"/>
                <w:szCs w:val="24"/>
              </w:rPr>
              <w:t>未</w:t>
            </w:r>
            <w:r>
              <w:rPr>
                <w:rFonts w:hint="eastAsia" w:ascii="宋体" w:hAnsi="宋体" w:eastAsia="宋体" w:cs="宋体"/>
                <w:sz w:val="24"/>
                <w:szCs w:val="24"/>
                <w:lang w:eastAsia="zh-CN"/>
              </w:rPr>
              <w:t>按要求</w:t>
            </w:r>
            <w:r>
              <w:rPr>
                <w:rFonts w:hint="eastAsia" w:ascii="宋体" w:hAnsi="宋体" w:eastAsia="宋体" w:cs="宋体"/>
                <w:sz w:val="24"/>
                <w:szCs w:val="24"/>
              </w:rPr>
              <w:t>提供</w:t>
            </w:r>
            <w:r>
              <w:rPr>
                <w:rFonts w:hint="eastAsia" w:ascii="宋体" w:hAnsi="宋体" w:eastAsia="宋体" w:cs="宋体"/>
                <w:sz w:val="24"/>
                <w:szCs w:val="24"/>
                <w:lang w:eastAsia="zh-CN"/>
              </w:rPr>
              <w:t>证明材料</w:t>
            </w:r>
            <w:r>
              <w:rPr>
                <w:rFonts w:hint="eastAsia" w:ascii="宋体" w:hAnsi="宋体" w:eastAsia="宋体" w:cs="宋体"/>
                <w:sz w:val="24"/>
                <w:szCs w:val="24"/>
              </w:rPr>
              <w:t>不得分。</w:t>
            </w:r>
            <w:bookmarkEnd w:id="1"/>
          </w:p>
        </w:tc>
        <w:tc>
          <w:tcPr>
            <w:tcW w:w="888" w:type="dxa"/>
            <w:shd w:val="clear" w:color="000000" w:fill="FFFFFF"/>
            <w:vAlign w:val="center"/>
          </w:tcPr>
          <w:p>
            <w:pPr>
              <w:widowControl/>
              <w:spacing w:line="240" w:lineRule="auto"/>
              <w:ind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rPr>
              <w:t>0-</w:t>
            </w:r>
            <w:r>
              <w:rPr>
                <w:rFonts w:hint="eastAsia" w:ascii="宋体" w:hAnsi="宋体" w:eastAsia="宋体" w:cs="宋体"/>
                <w:lang w:val="en-US" w:eastAsia="zh-CN"/>
              </w:rPr>
              <w:t>30</w:t>
            </w:r>
            <w:r>
              <w:rPr>
                <w:rFonts w:hint="eastAsia" w:ascii="宋体" w:hAnsi="宋体" w:eastAsia="宋体" w:cs="宋体"/>
              </w:rPr>
              <w:t>分</w:t>
            </w:r>
          </w:p>
        </w:tc>
        <w:tc>
          <w:tcPr>
            <w:tcW w:w="432" w:type="dxa"/>
            <w:shd w:val="clear" w:color="000000" w:fill="FFFFFF"/>
          </w:tcPr>
          <w:p>
            <w:pPr>
              <w:widowControl/>
              <w:spacing w:before="100" w:beforeAutospacing="1" w:after="100" w:afterAutospacing="1" w:line="240" w:lineRule="auto"/>
              <w:ind w:firstLine="0" w:firstLineChars="0"/>
              <w:jc w:val="both"/>
              <w:rPr>
                <w:rFonts w:hint="eastAsia" w:ascii="宋体" w:hAnsi="宋体" w:eastAsia="宋体" w:cs="宋体"/>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22" w:hRule="atLeast"/>
          <w:jc w:val="center"/>
        </w:trPr>
        <w:tc>
          <w:tcPr>
            <w:tcW w:w="1028" w:type="dxa"/>
            <w:vMerge w:val="continue"/>
            <w:shd w:val="clear" w:color="000000" w:fill="FFFFFF"/>
            <w:vAlign w:val="center"/>
          </w:tcPr>
          <w:p>
            <w:pPr>
              <w:widowControl/>
              <w:spacing w:line="240" w:lineRule="auto"/>
              <w:ind w:firstLine="0" w:firstLineChars="0"/>
              <w:jc w:val="center"/>
              <w:rPr>
                <w:rFonts w:hint="eastAsia" w:ascii="宋体" w:hAnsi="宋体" w:eastAsia="宋体" w:cs="宋体"/>
              </w:rPr>
            </w:pPr>
          </w:p>
        </w:tc>
        <w:tc>
          <w:tcPr>
            <w:tcW w:w="6689" w:type="dxa"/>
            <w:shd w:val="clear" w:color="000000" w:fill="FFFFFF"/>
            <w:vAlign w:val="center"/>
          </w:tcPr>
          <w:p>
            <w:pPr>
              <w:pStyle w:val="3"/>
              <w:spacing w:beforeLines="0" w:afterLines="0" w:line="240" w:lineRule="auto"/>
              <w:ind w:firstLine="0" w:firstLineChars="0"/>
              <w:jc w:val="both"/>
              <w:rPr>
                <w:rFonts w:hint="eastAsia" w:ascii="宋体" w:hAnsi="宋体" w:eastAsia="宋体" w:cs="宋体"/>
                <w:b/>
                <w:bCs w:val="0"/>
                <w:color w:val="000000" w:themeColor="text1"/>
                <w:sz w:val="24"/>
                <w:szCs w:val="24"/>
                <w:lang w:eastAsia="zh-CN"/>
                <w14:textFill>
                  <w14:solidFill>
                    <w14:schemeClr w14:val="tx1"/>
                  </w14:solidFill>
                </w14:textFill>
              </w:rPr>
            </w:pPr>
            <w:r>
              <w:rPr>
                <w:rFonts w:hint="eastAsia" w:ascii="宋体" w:hAnsi="宋体" w:eastAsia="宋体" w:cs="宋体"/>
                <w:b/>
                <w:bCs w:val="0"/>
                <w:color w:val="000000" w:themeColor="text1"/>
                <w:sz w:val="24"/>
                <w:szCs w:val="24"/>
                <w:lang w:eastAsia="zh-CN"/>
                <w14:textFill>
                  <w14:solidFill>
                    <w14:schemeClr w14:val="tx1"/>
                  </w14:solidFill>
                </w14:textFill>
              </w:rPr>
              <w:t>管理制度：</w:t>
            </w:r>
          </w:p>
          <w:p>
            <w:pPr>
              <w:pStyle w:val="3"/>
              <w:numPr>
                <w:ilvl w:val="0"/>
                <w:numId w:val="0"/>
              </w:numPr>
              <w:spacing w:beforeLines="0" w:afterLines="0" w:line="240" w:lineRule="auto"/>
              <w:ind w:firstLine="0" w:firstLineChars="0"/>
              <w:jc w:val="both"/>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Cs/>
                <w:color w:val="000000" w:themeColor="text1"/>
                <w:kern w:val="2"/>
                <w:sz w:val="24"/>
                <w:szCs w:val="24"/>
                <w:lang w:val="en-US" w:eastAsia="zh-CN" w:bidi="ar-SA"/>
                <w14:textFill>
                  <w14:solidFill>
                    <w14:schemeClr w14:val="tx1"/>
                  </w14:solidFill>
                </w14:textFill>
              </w:rPr>
              <w:t>1.供应商</w:t>
            </w:r>
            <w:r>
              <w:rPr>
                <w:rFonts w:hint="eastAsia" w:ascii="宋体" w:hAnsi="宋体" w:eastAsia="宋体" w:cs="宋体"/>
                <w:color w:val="000000" w:themeColor="text1"/>
                <w:sz w:val="24"/>
                <w:szCs w:val="24"/>
                <w:lang w:val="en-US" w:eastAsia="zh-CN"/>
                <w14:textFill>
                  <w14:solidFill>
                    <w14:schemeClr w14:val="tx1"/>
                  </w14:solidFill>
                </w14:textFill>
              </w:rPr>
              <w:t>提供健全的</w:t>
            </w:r>
            <w:r>
              <w:rPr>
                <w:rFonts w:hint="eastAsia" w:ascii="宋体" w:hAnsi="宋体" w:eastAsia="宋体" w:cs="宋体"/>
                <w:color w:val="000000" w:themeColor="text1"/>
                <w:sz w:val="24"/>
                <w:szCs w:val="24"/>
                <w:lang w:eastAsia="zh-CN"/>
                <w14:textFill>
                  <w14:solidFill>
                    <w14:schemeClr w14:val="tx1"/>
                  </w14:solidFill>
                </w14:textFill>
              </w:rPr>
              <w:t>《财务管理制度》，得</w:t>
            </w:r>
            <w:r>
              <w:rPr>
                <w:rFonts w:hint="eastAsia" w:ascii="宋体" w:hAnsi="宋体" w:eastAsia="宋体" w:cs="宋体"/>
                <w:color w:val="000000" w:themeColor="text1"/>
                <w:sz w:val="24"/>
                <w:szCs w:val="24"/>
                <w:lang w:val="en-US" w:eastAsia="zh-CN"/>
                <w14:textFill>
                  <w14:solidFill>
                    <w14:schemeClr w14:val="tx1"/>
                  </w14:solidFill>
                </w14:textFill>
              </w:rPr>
              <w:t>2分，未提供证明材料的不得分；</w:t>
            </w:r>
          </w:p>
          <w:p>
            <w:pPr>
              <w:pStyle w:val="3"/>
              <w:numPr>
                <w:ilvl w:val="0"/>
                <w:numId w:val="0"/>
              </w:numPr>
              <w:spacing w:beforeLines="0" w:afterLines="0" w:line="240" w:lineRule="auto"/>
              <w:ind w:firstLine="0" w:firstLineChars="0"/>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bCs/>
                <w:color w:val="000000" w:themeColor="text1"/>
                <w:kern w:val="2"/>
                <w:sz w:val="24"/>
                <w:szCs w:val="24"/>
                <w:lang w:val="en-US" w:eastAsia="zh-CN" w:bidi="ar-SA"/>
                <w14:textFill>
                  <w14:solidFill>
                    <w14:schemeClr w14:val="tx1"/>
                  </w14:solidFill>
                </w14:textFill>
              </w:rPr>
              <w:t>2.</w:t>
            </w:r>
            <w:r>
              <w:rPr>
                <w:rFonts w:hint="eastAsia" w:ascii="宋体" w:hAnsi="宋体" w:eastAsia="宋体" w:cs="宋体"/>
                <w:bCs/>
                <w:color w:val="000000" w:themeColor="text1"/>
                <w:kern w:val="2"/>
                <w:sz w:val="24"/>
                <w:szCs w:val="24"/>
                <w:lang w:val="en-US" w:eastAsia="zh-CN" w:bidi="ar-SA"/>
                <w14:textFill>
                  <w14:solidFill>
                    <w14:schemeClr w14:val="tx1"/>
                  </w14:solidFill>
                </w14:textFill>
              </w:rPr>
              <w:t>供应商</w:t>
            </w:r>
            <w:r>
              <w:rPr>
                <w:rFonts w:hint="eastAsia" w:ascii="宋体" w:hAnsi="宋体" w:eastAsia="宋体" w:cs="宋体"/>
                <w:color w:val="000000" w:themeColor="text1"/>
                <w:sz w:val="24"/>
                <w:szCs w:val="24"/>
                <w:lang w:val="en-US" w:eastAsia="zh-CN"/>
                <w14:textFill>
                  <w14:solidFill>
                    <w14:schemeClr w14:val="tx1"/>
                  </w14:solidFill>
                </w14:textFill>
              </w:rPr>
              <w:t>提供健全的</w:t>
            </w:r>
            <w:r>
              <w:rPr>
                <w:rFonts w:hint="eastAsia" w:ascii="宋体" w:hAnsi="宋体" w:eastAsia="宋体" w:cs="宋体"/>
                <w:color w:val="000000" w:themeColor="text1"/>
                <w:sz w:val="24"/>
                <w:szCs w:val="24"/>
                <w:lang w:eastAsia="zh-CN"/>
                <w14:textFill>
                  <w14:solidFill>
                    <w14:schemeClr w14:val="tx1"/>
                  </w14:solidFill>
                </w14:textFill>
              </w:rPr>
              <w:t>《档案管理制度》，得</w:t>
            </w:r>
            <w:r>
              <w:rPr>
                <w:rFonts w:hint="eastAsia" w:ascii="宋体" w:hAnsi="宋体" w:eastAsia="宋体" w:cs="宋体"/>
                <w:color w:val="000000" w:themeColor="text1"/>
                <w:sz w:val="24"/>
                <w:szCs w:val="24"/>
                <w:lang w:val="en-US" w:eastAsia="zh-CN"/>
                <w14:textFill>
                  <w14:solidFill>
                    <w14:schemeClr w14:val="tx1"/>
                  </w14:solidFill>
                </w14:textFill>
              </w:rPr>
              <w:t>2分</w:t>
            </w:r>
            <w:r>
              <w:rPr>
                <w:rFonts w:hint="eastAsia" w:ascii="宋体" w:hAnsi="宋体" w:eastAsia="宋体" w:cs="宋体"/>
                <w:color w:val="000000" w:themeColor="text1"/>
                <w:sz w:val="24"/>
                <w:szCs w:val="24"/>
                <w:lang w:val="en-US" w:eastAsia="zh-CN"/>
                <w14:textFill>
                  <w14:solidFill>
                    <w14:schemeClr w14:val="tx1"/>
                  </w14:solidFill>
                </w14:textFill>
              </w:rPr>
              <w:t>，未提供证明材料的不得分</w:t>
            </w:r>
            <w:r>
              <w:rPr>
                <w:rFonts w:hint="eastAsia" w:ascii="宋体" w:hAnsi="宋体" w:eastAsia="宋体" w:cs="宋体"/>
                <w:color w:val="000000" w:themeColor="text1"/>
                <w:sz w:val="24"/>
                <w:szCs w:val="24"/>
                <w:lang w:val="en-US" w:eastAsia="zh-CN"/>
                <w14:textFill>
                  <w14:solidFill>
                    <w14:schemeClr w14:val="tx1"/>
                  </w14:solidFill>
                </w14:textFill>
              </w:rPr>
              <w:t>；</w:t>
            </w:r>
          </w:p>
          <w:p>
            <w:pPr>
              <w:pStyle w:val="3"/>
              <w:numPr>
                <w:ilvl w:val="0"/>
                <w:numId w:val="0"/>
              </w:numPr>
              <w:spacing w:beforeLines="0" w:afterLines="0" w:line="240" w:lineRule="auto"/>
              <w:ind w:firstLine="0" w:firstLineChars="0"/>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bCs/>
                <w:color w:val="000000" w:themeColor="text1"/>
                <w:kern w:val="2"/>
                <w:sz w:val="24"/>
                <w:szCs w:val="24"/>
                <w:lang w:val="en-US" w:eastAsia="zh-CN" w:bidi="ar-SA"/>
                <w14:textFill>
                  <w14:solidFill>
                    <w14:schemeClr w14:val="tx1"/>
                  </w14:solidFill>
                </w14:textFill>
              </w:rPr>
              <w:t>供应商</w:t>
            </w:r>
            <w:r>
              <w:rPr>
                <w:rFonts w:hint="eastAsia" w:ascii="宋体" w:hAnsi="宋体" w:eastAsia="宋体" w:cs="宋体"/>
                <w:color w:val="000000" w:themeColor="text1"/>
                <w:sz w:val="24"/>
                <w:szCs w:val="24"/>
                <w:lang w:val="en-US" w:eastAsia="zh-CN"/>
                <w14:textFill>
                  <w14:solidFill>
                    <w14:schemeClr w14:val="tx1"/>
                  </w14:solidFill>
                </w14:textFill>
              </w:rPr>
              <w:t>提供健全的</w:t>
            </w:r>
            <w:r>
              <w:rPr>
                <w:rFonts w:hint="eastAsia" w:ascii="宋体" w:hAnsi="宋体" w:eastAsia="宋体" w:cs="宋体"/>
                <w:color w:val="000000" w:themeColor="text1"/>
                <w:sz w:val="24"/>
                <w:szCs w:val="24"/>
                <w:lang w:eastAsia="zh-CN"/>
                <w14:textFill>
                  <w14:solidFill>
                    <w14:schemeClr w14:val="tx1"/>
                  </w14:solidFill>
                </w14:textFill>
              </w:rPr>
              <w:t>《回避管理制度》，得</w:t>
            </w:r>
            <w:r>
              <w:rPr>
                <w:rFonts w:hint="eastAsia" w:ascii="宋体" w:hAnsi="宋体" w:eastAsia="宋体" w:cs="宋体"/>
                <w:color w:val="000000" w:themeColor="text1"/>
                <w:sz w:val="24"/>
                <w:szCs w:val="24"/>
                <w:lang w:val="en-US" w:eastAsia="zh-CN"/>
                <w14:textFill>
                  <w14:solidFill>
                    <w14:schemeClr w14:val="tx1"/>
                  </w14:solidFill>
                </w14:textFill>
              </w:rPr>
              <w:t>2分</w:t>
            </w:r>
            <w:r>
              <w:rPr>
                <w:rFonts w:hint="eastAsia" w:ascii="宋体" w:hAnsi="宋体" w:eastAsia="宋体" w:cs="宋体"/>
                <w:color w:val="000000" w:themeColor="text1"/>
                <w:sz w:val="24"/>
                <w:szCs w:val="24"/>
                <w:lang w:val="en-US" w:eastAsia="zh-CN"/>
                <w14:textFill>
                  <w14:solidFill>
                    <w14:schemeClr w14:val="tx1"/>
                  </w14:solidFill>
                </w14:textFill>
              </w:rPr>
              <w:t>，未提供证明材料的不得分</w:t>
            </w:r>
            <w:r>
              <w:rPr>
                <w:rFonts w:hint="eastAsia" w:ascii="宋体" w:hAnsi="宋体" w:eastAsia="宋体" w:cs="宋体"/>
                <w:color w:val="000000" w:themeColor="text1"/>
                <w:sz w:val="24"/>
                <w:szCs w:val="24"/>
                <w:lang w:val="en-US" w:eastAsia="zh-CN"/>
                <w14:textFill>
                  <w14:solidFill>
                    <w14:schemeClr w14:val="tx1"/>
                  </w14:solidFill>
                </w14:textFill>
              </w:rPr>
              <w:t>；</w:t>
            </w:r>
          </w:p>
          <w:p>
            <w:pPr>
              <w:pStyle w:val="3"/>
              <w:numPr>
                <w:ilvl w:val="0"/>
                <w:numId w:val="0"/>
              </w:numPr>
              <w:shd w:val="clear"/>
              <w:spacing w:beforeLines="0" w:afterLines="0" w:line="240" w:lineRule="auto"/>
              <w:ind w:firstLine="0" w:firstLineChars="0"/>
              <w:jc w:val="both"/>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Cs/>
                <w:color w:val="000000" w:themeColor="text1"/>
                <w:kern w:val="2"/>
                <w:sz w:val="24"/>
                <w:szCs w:val="24"/>
                <w:lang w:val="en-US" w:eastAsia="zh-CN" w:bidi="ar-SA"/>
                <w14:textFill>
                  <w14:solidFill>
                    <w14:schemeClr w14:val="tx1"/>
                  </w14:solidFill>
                </w14:textFill>
              </w:rPr>
              <w:t>供应商</w:t>
            </w:r>
            <w:r>
              <w:rPr>
                <w:rFonts w:hint="eastAsia" w:ascii="宋体" w:hAnsi="宋体" w:eastAsia="宋体" w:cs="宋体"/>
                <w:color w:val="000000" w:themeColor="text1"/>
                <w:sz w:val="24"/>
                <w:szCs w:val="24"/>
                <w:lang w:val="en-US" w:eastAsia="zh-CN"/>
                <w14:textFill>
                  <w14:solidFill>
                    <w14:schemeClr w14:val="tx1"/>
                  </w14:solidFill>
                </w14:textFill>
              </w:rPr>
              <w:t>提供健全的</w:t>
            </w:r>
            <w:r>
              <w:rPr>
                <w:rFonts w:hint="eastAsia" w:ascii="宋体" w:hAnsi="宋体" w:eastAsia="宋体" w:cs="宋体"/>
                <w:color w:val="000000" w:themeColor="text1"/>
                <w:sz w:val="24"/>
                <w:szCs w:val="24"/>
                <w:highlight w:val="none"/>
                <w:lang w:eastAsia="zh-CN"/>
                <w14:textFill>
                  <w14:solidFill>
                    <w14:schemeClr w14:val="tx1"/>
                  </w14:solidFill>
                </w14:textFill>
              </w:rPr>
              <w:t>《绩效管理制度》，得</w:t>
            </w:r>
            <w:r>
              <w:rPr>
                <w:rFonts w:hint="eastAsia" w:ascii="宋体" w:hAnsi="宋体" w:eastAsia="宋体" w:cs="宋体"/>
                <w:color w:val="000000" w:themeColor="text1"/>
                <w:sz w:val="24"/>
                <w:szCs w:val="24"/>
                <w:highlight w:val="none"/>
                <w:lang w:val="en-US" w:eastAsia="zh-CN"/>
                <w14:textFill>
                  <w14:solidFill>
                    <w14:schemeClr w14:val="tx1"/>
                  </w14:solidFill>
                </w14:textFill>
              </w:rPr>
              <w:t>2分</w:t>
            </w:r>
            <w:r>
              <w:rPr>
                <w:rFonts w:hint="eastAsia" w:ascii="宋体" w:hAnsi="宋体" w:eastAsia="宋体" w:cs="宋体"/>
                <w:color w:val="000000" w:themeColor="text1"/>
                <w:sz w:val="24"/>
                <w:szCs w:val="24"/>
                <w:lang w:val="en-US" w:eastAsia="zh-CN"/>
                <w14:textFill>
                  <w14:solidFill>
                    <w14:schemeClr w14:val="tx1"/>
                  </w14:solidFill>
                </w14:textFill>
              </w:rPr>
              <w:t>，未提供证明材料的不得分</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pPr>
              <w:pStyle w:val="3"/>
              <w:numPr>
                <w:ilvl w:val="0"/>
                <w:numId w:val="0"/>
              </w:numPr>
              <w:spacing w:beforeLines="0" w:afterLines="0" w:line="240" w:lineRule="auto"/>
              <w:ind w:firstLine="0" w:firstLineChars="0"/>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w:t>
            </w:r>
            <w:r>
              <w:rPr>
                <w:rFonts w:hint="eastAsia" w:ascii="宋体" w:hAnsi="宋体" w:eastAsia="宋体" w:cs="宋体"/>
                <w:bCs/>
                <w:color w:val="000000" w:themeColor="text1"/>
                <w:kern w:val="2"/>
                <w:sz w:val="24"/>
                <w:szCs w:val="24"/>
                <w:lang w:val="en-US" w:eastAsia="zh-CN" w:bidi="ar-SA"/>
                <w14:textFill>
                  <w14:solidFill>
                    <w14:schemeClr w14:val="tx1"/>
                  </w14:solidFill>
                </w14:textFill>
              </w:rPr>
              <w:t>供应商</w:t>
            </w:r>
            <w:r>
              <w:rPr>
                <w:rFonts w:hint="eastAsia" w:ascii="宋体" w:hAnsi="宋体" w:eastAsia="宋体" w:cs="宋体"/>
                <w:color w:val="000000" w:themeColor="text1"/>
                <w:sz w:val="24"/>
                <w:szCs w:val="24"/>
                <w:lang w:val="en-US" w:eastAsia="zh-CN"/>
                <w14:textFill>
                  <w14:solidFill>
                    <w14:schemeClr w14:val="tx1"/>
                  </w14:solidFill>
                </w14:textFill>
              </w:rPr>
              <w:t>提供健全的</w:t>
            </w:r>
            <w:r>
              <w:rPr>
                <w:rFonts w:hint="eastAsia" w:ascii="宋体" w:hAnsi="宋体" w:eastAsia="宋体" w:cs="宋体"/>
                <w:color w:val="000000" w:themeColor="text1"/>
                <w:sz w:val="24"/>
                <w:szCs w:val="24"/>
                <w:lang w:eastAsia="zh-CN"/>
                <w14:textFill>
                  <w14:solidFill>
                    <w14:schemeClr w14:val="tx1"/>
                  </w14:solidFill>
                </w14:textFill>
              </w:rPr>
              <w:t>《员工管理制度》，得</w:t>
            </w: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lang w:eastAsia="zh-CN"/>
                <w14:textFill>
                  <w14:solidFill>
                    <w14:schemeClr w14:val="tx1"/>
                  </w14:solidFill>
                </w14:textFill>
              </w:rPr>
              <w:t>分</w:t>
            </w:r>
            <w:r>
              <w:rPr>
                <w:rFonts w:hint="eastAsia" w:ascii="宋体" w:hAnsi="宋体" w:eastAsia="宋体" w:cs="宋体"/>
                <w:color w:val="000000" w:themeColor="text1"/>
                <w:sz w:val="24"/>
                <w:szCs w:val="24"/>
                <w:lang w:val="en-US" w:eastAsia="zh-CN"/>
                <w14:textFill>
                  <w14:solidFill>
                    <w14:schemeClr w14:val="tx1"/>
                  </w14:solidFill>
                </w14:textFill>
              </w:rPr>
              <w:t>，未提供证明材料的不得分</w:t>
            </w:r>
            <w:r>
              <w:rPr>
                <w:rFonts w:hint="eastAsia" w:ascii="宋体" w:hAnsi="宋体" w:eastAsia="宋体" w:cs="宋体"/>
                <w:color w:val="000000" w:themeColor="text1"/>
                <w:sz w:val="24"/>
                <w:szCs w:val="24"/>
                <w:lang w:eastAsia="zh-CN"/>
                <w14:textFill>
                  <w14:solidFill>
                    <w14:schemeClr w14:val="tx1"/>
                  </w14:solidFill>
                </w14:textFill>
              </w:rPr>
              <w:t>；</w:t>
            </w:r>
          </w:p>
          <w:p>
            <w:pPr>
              <w:pStyle w:val="3"/>
              <w:numPr>
                <w:ilvl w:val="0"/>
                <w:numId w:val="0"/>
              </w:numPr>
              <w:spacing w:beforeLines="0" w:afterLines="0" w:line="240" w:lineRule="auto"/>
              <w:ind w:firstLine="0" w:firstLineChars="0"/>
              <w:jc w:val="both"/>
              <w:rPr>
                <w:rFonts w:hint="eastAsia" w:ascii="宋体" w:hAnsi="宋体" w:eastAsia="宋体" w:cs="宋体"/>
                <w:sz w:val="24"/>
                <w:szCs w:val="24"/>
                <w:lang w:eastAsia="zh-CN"/>
              </w:rPr>
            </w:pPr>
            <w:r>
              <w:rPr>
                <w:rFonts w:hint="eastAsia" w:ascii="宋体" w:hAnsi="宋体" w:eastAsia="宋体" w:cs="宋体"/>
                <w:color w:val="000000" w:themeColor="text1"/>
                <w:sz w:val="24"/>
                <w:szCs w:val="24"/>
                <w:lang w:val="en-US" w:eastAsia="zh-CN"/>
                <w14:textFill>
                  <w14:solidFill>
                    <w14:schemeClr w14:val="tx1"/>
                  </w14:solidFill>
                </w14:textFill>
              </w:rPr>
              <w:t>本项</w:t>
            </w:r>
            <w:r>
              <w:rPr>
                <w:rFonts w:hint="eastAsia" w:ascii="宋体" w:hAnsi="宋体" w:eastAsia="宋体" w:cs="宋体"/>
                <w:color w:val="000000" w:themeColor="text1"/>
                <w:sz w:val="24"/>
                <w:szCs w:val="24"/>
                <w:lang w:eastAsia="zh-CN"/>
                <w14:textFill>
                  <w14:solidFill>
                    <w14:schemeClr w14:val="tx1"/>
                  </w14:solidFill>
                </w14:textFill>
              </w:rPr>
              <w:t>满分</w:t>
            </w:r>
            <w:r>
              <w:rPr>
                <w:rFonts w:hint="eastAsia" w:ascii="宋体" w:hAnsi="宋体" w:eastAsia="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lang w:eastAsia="zh-CN"/>
                <w14:textFill>
                  <w14:solidFill>
                    <w14:schemeClr w14:val="tx1"/>
                  </w14:solidFill>
                </w14:textFill>
              </w:rPr>
              <w:t>分。</w:t>
            </w:r>
          </w:p>
        </w:tc>
        <w:tc>
          <w:tcPr>
            <w:tcW w:w="888" w:type="dxa"/>
            <w:shd w:val="clear" w:color="000000" w:fill="FFFFFF"/>
            <w:vAlign w:val="center"/>
          </w:tcPr>
          <w:p>
            <w:pPr>
              <w:widowControl/>
              <w:spacing w:line="240" w:lineRule="auto"/>
              <w:ind w:firstLine="0" w:firstLineChars="0"/>
              <w:jc w:val="center"/>
              <w:rPr>
                <w:rFonts w:hint="eastAsia" w:ascii="宋体" w:hAnsi="宋体" w:eastAsia="宋体" w:cs="宋体"/>
              </w:rPr>
            </w:pPr>
            <w:r>
              <w:rPr>
                <w:rFonts w:hint="eastAsia" w:ascii="宋体" w:hAnsi="宋体" w:eastAsia="宋体" w:cs="宋体"/>
                <w:lang w:val="en-US" w:eastAsia="zh-CN"/>
              </w:rPr>
              <w:t>0-10分</w:t>
            </w:r>
          </w:p>
        </w:tc>
        <w:tc>
          <w:tcPr>
            <w:tcW w:w="432" w:type="dxa"/>
            <w:shd w:val="clear" w:color="000000" w:fill="FFFFFF"/>
          </w:tcPr>
          <w:p>
            <w:pPr>
              <w:widowControl/>
              <w:spacing w:before="100" w:beforeAutospacing="1" w:after="100" w:afterAutospacing="1" w:line="240" w:lineRule="auto"/>
              <w:ind w:firstLine="0" w:firstLineChars="0"/>
              <w:jc w:val="both"/>
              <w:rPr>
                <w:rFonts w:hint="eastAsia" w:ascii="宋体" w:hAnsi="宋体" w:eastAsia="宋体" w:cs="宋体"/>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65" w:hRule="atLeast"/>
          <w:jc w:val="center"/>
        </w:trPr>
        <w:tc>
          <w:tcPr>
            <w:tcW w:w="7717" w:type="dxa"/>
            <w:gridSpan w:val="2"/>
            <w:shd w:val="clear" w:color="000000" w:fill="FFFFFF"/>
            <w:vAlign w:val="center"/>
          </w:tcPr>
          <w:p>
            <w:pPr>
              <w:widowControl/>
              <w:spacing w:line="240" w:lineRule="auto"/>
              <w:ind w:firstLine="0" w:firstLineChars="0"/>
              <w:jc w:val="center"/>
              <w:rPr>
                <w:rFonts w:hint="eastAsia" w:ascii="宋体" w:hAnsi="宋体" w:eastAsia="宋体" w:cs="宋体"/>
              </w:rPr>
            </w:pPr>
            <w:r>
              <w:rPr>
                <w:rFonts w:hint="eastAsia" w:ascii="宋体" w:hAnsi="宋体" w:eastAsia="宋体" w:cs="宋体"/>
              </w:rPr>
              <w:t>得分</w:t>
            </w:r>
          </w:p>
        </w:tc>
        <w:tc>
          <w:tcPr>
            <w:tcW w:w="888" w:type="dxa"/>
            <w:shd w:val="clear" w:color="000000" w:fill="FFFFFF"/>
            <w:vAlign w:val="center"/>
          </w:tcPr>
          <w:p>
            <w:pPr>
              <w:widowControl/>
              <w:spacing w:line="240" w:lineRule="auto"/>
              <w:ind w:firstLine="0" w:firstLineChars="0"/>
              <w:jc w:val="both"/>
              <w:rPr>
                <w:rFonts w:hint="eastAsia" w:ascii="宋体" w:hAnsi="宋体" w:eastAsia="宋体" w:cs="宋体"/>
              </w:rPr>
            </w:pPr>
            <w:r>
              <w:rPr>
                <w:rFonts w:hint="eastAsia" w:ascii="宋体" w:hAnsi="宋体" w:eastAsia="宋体" w:cs="宋体"/>
                <w:sz w:val="21"/>
                <w:szCs w:val="21"/>
              </w:rPr>
              <w:t>10</w:t>
            </w:r>
            <w:r>
              <w:rPr>
                <w:rFonts w:hint="eastAsia" w:ascii="宋体" w:hAnsi="宋体" w:eastAsia="宋体" w:cs="宋体"/>
                <w:sz w:val="21"/>
                <w:szCs w:val="21"/>
                <w:lang w:val="en-US" w:eastAsia="zh-CN"/>
              </w:rPr>
              <w:t>0</w:t>
            </w:r>
            <w:r>
              <w:rPr>
                <w:rFonts w:hint="eastAsia" w:ascii="宋体" w:hAnsi="宋体" w:eastAsia="宋体" w:cs="宋体"/>
                <w:sz w:val="21"/>
                <w:szCs w:val="21"/>
              </w:rPr>
              <w:t>分</w:t>
            </w:r>
          </w:p>
        </w:tc>
        <w:tc>
          <w:tcPr>
            <w:tcW w:w="432" w:type="dxa"/>
            <w:shd w:val="clear" w:color="000000" w:fill="FFFFFF"/>
            <w:vAlign w:val="center"/>
          </w:tcPr>
          <w:p>
            <w:pPr>
              <w:widowControl/>
              <w:spacing w:line="240" w:lineRule="auto"/>
              <w:ind w:firstLine="0" w:firstLineChars="0"/>
              <w:rPr>
                <w:rFonts w:hint="eastAsia" w:ascii="宋体" w:hAnsi="宋体" w:eastAsia="宋体" w:cs="宋体"/>
              </w:rPr>
            </w:pPr>
          </w:p>
        </w:tc>
      </w:tr>
    </w:tbl>
    <w:p>
      <w:bookmarkStart w:id="2" w:name="_GoBack"/>
      <w:bookmarkEnd w:id="2"/>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A00002BF" w:usb1="184F6CFA" w:usb2="00000012"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1ZjFlZTc3NGFlODUwNTRiY2VlYjU3MTQwZTkyMjUifQ=="/>
  </w:docVars>
  <w:rsids>
    <w:rsidRoot w:val="50BC4D81"/>
    <w:rsid w:val="161404C8"/>
    <w:rsid w:val="17B51E49"/>
    <w:rsid w:val="1E586C2C"/>
    <w:rsid w:val="264241A2"/>
    <w:rsid w:val="34B25AEE"/>
    <w:rsid w:val="38C44C14"/>
    <w:rsid w:val="39232F40"/>
    <w:rsid w:val="3EDF3E59"/>
    <w:rsid w:val="4F800A1E"/>
    <w:rsid w:val="50BC4D81"/>
    <w:rsid w:val="5E747463"/>
    <w:rsid w:val="778B7C73"/>
    <w:rsid w:val="7EBB4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pPr>
    <w:rPr>
      <w:rFonts w:ascii="Times New Roman" w:hAnsi="Times New Roman" w:eastAsia="仿宋_GB2312" w:cs="Times New Roman"/>
      <w:kern w:val="2"/>
      <w:sz w:val="24"/>
      <w:szCs w:val="24"/>
      <w:lang w:val="en-US" w:eastAsia="zh-CN" w:bidi="ar-SA"/>
    </w:rPr>
  </w:style>
  <w:style w:type="paragraph" w:styleId="3">
    <w:name w:val="heading 2"/>
    <w:basedOn w:val="1"/>
    <w:next w:val="1"/>
    <w:unhideWhenUsed/>
    <w:qFormat/>
    <w:uiPriority w:val="9"/>
    <w:pPr>
      <w:keepNext/>
      <w:keepLines/>
      <w:spacing w:beforeLines="50" w:afterLines="50"/>
      <w:ind w:firstLine="0" w:firstLineChars="0"/>
      <w:contextualSpacing/>
      <w:jc w:val="center"/>
      <w:outlineLvl w:val="1"/>
    </w:pPr>
    <w:rPr>
      <w:rFonts w:ascii="Cambria" w:hAnsi="Cambria" w:eastAsia="方正小标宋简体"/>
      <w:bCs/>
      <w:sz w:val="28"/>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BodyText"/>
    <w:basedOn w:val="1"/>
    <w:qFormat/>
    <w:uiPriority w:val="0"/>
    <w:pPr>
      <w:spacing w:after="120"/>
      <w:textAlignment w:val="baseline"/>
    </w:pPr>
  </w:style>
  <w:style w:type="paragraph" w:styleId="4">
    <w:name w:val="table of authorities"/>
    <w:basedOn w:val="1"/>
    <w:next w:val="1"/>
    <w:qFormat/>
    <w:uiPriority w:val="0"/>
    <w:pPr>
      <w:ind w:left="420" w:left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1199</Words>
  <Characters>1262</Characters>
  <Lines>0</Lines>
  <Paragraphs>0</Paragraphs>
  <TotalTime>0</TotalTime>
  <ScaleCrop>false</ScaleCrop>
  <LinksUpToDate>false</LinksUpToDate>
  <CharactersWithSpaces>1326</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2026-07-27T02:00:00Z</dcterms:created>
  <dc:creator>Darlene(中鼎）</dc:creator>
  <cp:lastModifiedBy>WJYang-Bang</cp:lastModifiedBy>
  <dcterms:modified xsi:type="dcterms:W3CDTF">2026-09-02T07:06:22Z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D3E1F7AAA89247DCA78D2AD74E020DDB</vt:lpwstr>
  </property>
  <property fmtid="{D5CDD505-2E9C-101B-9397-08002B2CF9AE}" pid="4" name="KSOTemplateDocerSaveRecord">
    <vt:lpwstr>eyJoZGlkIjoiOTRjNTc4NDU3ODlkZDE4N2NhMzc0YzkwNjM1ZWI0NzQiLCJ1c2VySWQiOiIyNTMyNzU4NDgifQ==</vt:lpwstr>
  </property>
</Properties>
</file>